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6B19B" w14:textId="77777777" w:rsidR="00704BFA" w:rsidRDefault="00E605DF">
      <w:pPr>
        <w:spacing w:line="276" w:lineRule="auto"/>
        <w:jc w:val="center"/>
        <w:rPr>
          <w:rFonts w:ascii="Garamond" w:hAnsi="Garamond"/>
          <w:b/>
          <w:color w:val="000000" w:themeColor="text1"/>
          <w:sz w:val="28"/>
          <w:szCs w:val="28"/>
        </w:rPr>
      </w:pPr>
      <w:r>
        <w:rPr>
          <w:rFonts w:ascii="Garamond" w:hAnsi="Garamond"/>
          <w:b/>
          <w:noProof/>
          <w:color w:val="000000" w:themeColor="text1"/>
          <w:sz w:val="28"/>
          <w:szCs w:val="28"/>
        </w:rPr>
        <mc:AlternateContent>
          <mc:Choice Requires="wps">
            <w:drawing>
              <wp:anchor distT="0" distB="26670" distL="0" distR="27940" simplePos="0" relativeHeight="6" behindDoc="1" locked="0" layoutInCell="0" allowOverlap="1" wp14:anchorId="55A7C068" wp14:editId="1F8D33F8">
                <wp:simplePos x="0" y="0"/>
                <wp:positionH relativeFrom="page">
                  <wp:align>left</wp:align>
                </wp:positionH>
                <wp:positionV relativeFrom="page">
                  <wp:posOffset>1888490</wp:posOffset>
                </wp:positionV>
                <wp:extent cx="7763510" cy="1344930"/>
                <wp:effectExtent l="6350" t="6350" r="6350" b="6350"/>
                <wp:wrapNone/>
                <wp:docPr id="1" name="Dikdörtgen 1"/>
                <wp:cNvGraphicFramePr/>
                <a:graphic xmlns:a="http://schemas.openxmlformats.org/drawingml/2006/main">
                  <a:graphicData uri="http://schemas.microsoft.com/office/word/2010/wordprocessingShape">
                    <wps:wsp>
                      <wps:cNvSpPr/>
                      <wps:spPr>
                        <a:xfrm>
                          <a:off x="0" y="0"/>
                          <a:ext cx="7763400" cy="1344960"/>
                        </a:xfrm>
                        <a:prstGeom prst="rect">
                          <a:avLst/>
                        </a:prstGeom>
                        <a:solidFill>
                          <a:srgbClr val="C00000"/>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568D4816" w14:textId="18F94845" w:rsidR="00704BFA" w:rsidRDefault="009E3327">
                            <w:pPr>
                              <w:pStyle w:val="Heading1"/>
                            </w:pPr>
                            <w:r>
                              <w:rPr>
                                <w:rStyle w:val="Heading1Char"/>
                                <w:b/>
                                <w:bCs/>
                              </w:rPr>
                              <w:t>Mineralogic a</w:t>
                            </w:r>
                            <w:r w:rsidR="00E605DF">
                              <w:rPr>
                                <w:rStyle w:val="Heading1Char"/>
                                <w:b/>
                                <w:bCs/>
                              </w:rPr>
                              <w:t>ssessment of natural radionuclide rich beach sands in Western Anatolia (</w:t>
                            </w:r>
                            <w:proofErr w:type="spellStart"/>
                            <w:r w:rsidR="00E605DF">
                              <w:rPr>
                                <w:rStyle w:val="Heading1Char"/>
                                <w:b/>
                                <w:bCs/>
                              </w:rPr>
                              <w:t>Çanakkale</w:t>
                            </w:r>
                            <w:proofErr w:type="spellEnd"/>
                            <w:r w:rsidR="00E605DF">
                              <w:rPr>
                                <w:rStyle w:val="Heading1Char"/>
                                <w:b/>
                                <w:bCs/>
                              </w:rPr>
                              <w:t xml:space="preserve">) </w:t>
                            </w:r>
                          </w:p>
                        </w:txbxContent>
                      </wps:txbx>
                      <wps:bodyPr anchor="ctr">
                        <a:prstTxWarp prst="textNoShape">
                          <a:avLst/>
                        </a:prstTxWarp>
                        <a:noAutofit/>
                      </wps:bodyPr>
                    </wps:wsp>
                  </a:graphicData>
                </a:graphic>
              </wp:anchor>
            </w:drawing>
          </mc:Choice>
          <mc:Fallback>
            <w:pict>
              <v:rect w14:anchorId="55A7C068" id="Dikdörtgen 1" o:spid="_x0000_s1026" style="position:absolute;left:0;text-align:left;margin-left:0;margin-top:148.7pt;width:611.3pt;height:105.9pt;z-index:-503316474;visibility:visible;mso-wrap-style:square;mso-wrap-distance-left:0;mso-wrap-distance-top:0;mso-wrap-distance-right:2.2pt;mso-wrap-distance-bottom:2.1pt;mso-position-horizontal:left;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" o:allowincell="f" fillcolor="#c00000" strokecolor="#43729d" strokeweight="1pt">
                <v:textbox>
                  <w:txbxContent>
                    <w:p w14:paraId="568D4816" w14:textId="18F94845" w:rsidR="00704BFA" w:rsidRDefault="009E3327">
                      <w:pPr>
                        <w:pStyle w:val="Heading1"/>
                      </w:pPr>
                      <w:r>
                        <w:rPr>
                          <w:rStyle w:val="Heading1Char"/>
                          <w:b/>
                          <w:bCs/>
                        </w:rPr>
                        <w:t>Mineralogic a</w:t>
                      </w:r>
                      <w:r w:rsidR="00E605DF">
                        <w:rPr>
                          <w:rStyle w:val="Heading1Char"/>
                          <w:b/>
                          <w:bCs/>
                        </w:rPr>
                        <w:t>ssessment of natural radionuclide rich beach sands in Western Anatolia (</w:t>
                      </w:r>
                      <w:proofErr w:type="spellStart"/>
                      <w:r w:rsidR="00E605DF">
                        <w:rPr>
                          <w:rStyle w:val="Heading1Char"/>
                          <w:b/>
                          <w:bCs/>
                        </w:rPr>
                        <w:t>Çanakkale</w:t>
                      </w:r>
                      <w:proofErr w:type="spellEnd"/>
                      <w:r w:rsidR="00E605DF">
                        <w:rPr>
                          <w:rStyle w:val="Heading1Char"/>
                          <w:b/>
                          <w:bCs/>
                        </w:rPr>
                        <w:t xml:space="preserve">) </w:t>
                      </w:r>
                    </w:p>
                  </w:txbxContent>
                </v:textbox>
                <w10:wrap anchorx="page" anchory="page"/>
              </v:rect>
            </w:pict>
          </mc:Fallback>
        </mc:AlternateContent>
      </w:r>
    </w:p>
    <w:p w14:paraId="748875AD" w14:textId="77777777" w:rsidR="00704BFA" w:rsidRDefault="00704BFA">
      <w:pPr>
        <w:spacing w:line="276" w:lineRule="auto"/>
      </w:pPr>
    </w:p>
    <w:p w14:paraId="32175D0B" w14:textId="77777777" w:rsidR="00704BFA" w:rsidRDefault="00704BFA">
      <w:pPr>
        <w:spacing w:line="276" w:lineRule="auto"/>
      </w:pPr>
    </w:p>
    <w:p w14:paraId="455937C0" w14:textId="77777777" w:rsidR="00704BFA" w:rsidRDefault="00704BFA">
      <w:pPr>
        <w:spacing w:line="276" w:lineRule="auto"/>
      </w:pPr>
    </w:p>
    <w:p w14:paraId="0ABCA8E7" w14:textId="77777777" w:rsidR="00704BFA" w:rsidRDefault="00704BFA">
      <w:pPr>
        <w:pStyle w:val="Subtitle"/>
      </w:pPr>
    </w:p>
    <w:p w14:paraId="02A86BD5" w14:textId="77777777" w:rsidR="00704BFA" w:rsidRDefault="00704BFA">
      <w:pPr>
        <w:pStyle w:val="Subtitle"/>
      </w:pPr>
    </w:p>
    <w:p w14:paraId="123D698D" w14:textId="77777777" w:rsidR="00704BFA" w:rsidRDefault="00704BFA">
      <w:pPr>
        <w:pStyle w:val="Subtitle"/>
      </w:pPr>
    </w:p>
    <w:p w14:paraId="59070F47" w14:textId="77777777" w:rsidR="00704BFA" w:rsidRDefault="00E605DF">
      <w:pPr>
        <w:pStyle w:val="Heading2"/>
        <w:jc w:val="right"/>
        <w:rPr>
          <w:lang w:val="tr-TR"/>
        </w:rPr>
      </w:pPr>
      <w:r>
        <w:rPr>
          <w:lang w:val="tr-TR"/>
        </w:rPr>
        <w:t>Fatma Gülmez Yıldırım</w:t>
      </w:r>
      <w:r>
        <w:rPr>
          <w:rStyle w:val="FootnoteAnchor"/>
          <w:b/>
          <w:color w:val="auto"/>
          <w:szCs w:val="24"/>
        </w:rPr>
        <w:footnoteReference w:id="1"/>
      </w:r>
    </w:p>
    <w:p w14:paraId="7EE20B74" w14:textId="77777777" w:rsidR="00704BFA" w:rsidRDefault="00E605DF">
      <w:pPr>
        <w:pStyle w:val="Heading2"/>
        <w:jc w:val="right"/>
        <w:rPr>
          <w:lang w:val="tr-TR"/>
        </w:rPr>
      </w:pPr>
      <w:r>
        <w:rPr>
          <w:lang w:val="tr-TR"/>
        </w:rPr>
        <w:t>Aydın Yıldırım</w:t>
      </w:r>
      <w:r>
        <w:rPr>
          <w:rStyle w:val="FootnoteCharacters"/>
          <w:lang w:val="tr-TR"/>
        </w:rPr>
        <w:t xml:space="preserve"> </w:t>
      </w:r>
      <w:r>
        <w:rPr>
          <w:rStyle w:val="FootnoteAnchor"/>
        </w:rPr>
        <w:footnoteReference w:id="2"/>
      </w:r>
    </w:p>
    <w:p w14:paraId="40DE5A3A" w14:textId="77777777" w:rsidR="00704BFA" w:rsidRDefault="00704BFA">
      <w:pPr>
        <w:spacing w:line="276" w:lineRule="auto"/>
        <w:rPr>
          <w:rFonts w:ascii="Times New Roman" w:hAnsi="Times New Roman" w:cs="Times New Roman"/>
          <w:lang w:val="tr-TR"/>
        </w:rPr>
      </w:pPr>
    </w:p>
    <w:p w14:paraId="2D382AEE" w14:textId="77777777" w:rsidR="00704BFA" w:rsidRDefault="00E605DF">
      <w:pPr>
        <w:spacing w:line="276" w:lineRule="auto"/>
        <w:rPr>
          <w:rFonts w:ascii="Times New Roman" w:hAnsi="Times New Roman" w:cs="Times New Roman"/>
          <w:b/>
          <w:bCs/>
          <w:sz w:val="24"/>
          <w:szCs w:val="24"/>
          <w:lang w:val="tr-TR"/>
        </w:rPr>
      </w:pPr>
      <w:r>
        <w:rPr>
          <w:rFonts w:ascii="Times New Roman" w:hAnsi="Times New Roman" w:cs="Times New Roman"/>
          <w:b/>
          <w:bCs/>
          <w:sz w:val="24"/>
          <w:szCs w:val="24"/>
          <w:lang w:val="tr-TR"/>
        </w:rPr>
        <w:t>Abstract</w:t>
      </w:r>
    </w:p>
    <w:p w14:paraId="5ED3A75A" w14:textId="63DA44DC" w:rsidR="00704BFA" w:rsidRPr="009E3327" w:rsidRDefault="00E605DF">
      <w:pPr>
        <w:spacing w:before="360" w:after="300" w:line="276" w:lineRule="auto"/>
        <w:ind w:left="720" w:right="567"/>
        <w:jc w:val="both"/>
        <w:rPr>
          <w:rFonts w:ascii="Times New Roman" w:hAnsi="Times New Roman" w:cs="Times New Roman"/>
          <w:color w:val="000000" w:themeColor="text1"/>
          <w:sz w:val="24"/>
          <w:szCs w:val="24"/>
        </w:rPr>
      </w:pPr>
      <w:r w:rsidRPr="009E3327">
        <w:rPr>
          <w:rFonts w:ascii="Times New Roman" w:hAnsi="Times New Roman" w:cs="Times New Roman"/>
          <w:color w:val="000000" w:themeColor="text1"/>
          <w:sz w:val="24"/>
          <w:szCs w:val="24"/>
        </w:rPr>
        <w:t xml:space="preserve">Natural </w:t>
      </w:r>
      <w:r w:rsidRPr="009E3327">
        <w:rPr>
          <w:rFonts w:ascii="Times New Roman" w:hAnsi="Times New Roman" w:cs="Times New Roman"/>
          <w:color w:val="000000" w:themeColor="text1"/>
          <w:sz w:val="24"/>
          <w:szCs w:val="24"/>
        </w:rPr>
        <w:t>radioactivity</w:t>
      </w:r>
      <w:r w:rsidRPr="009E3327">
        <w:rPr>
          <w:rFonts w:ascii="Times New Roman" w:hAnsi="Times New Roman" w:cs="Times New Roman"/>
          <w:color w:val="000000" w:themeColor="text1"/>
          <w:sz w:val="24"/>
          <w:szCs w:val="24"/>
        </w:rPr>
        <w:t xml:space="preserve"> </w:t>
      </w:r>
      <w:r w:rsidRPr="009E3327">
        <w:rPr>
          <w:rFonts w:ascii="Times New Roman" w:hAnsi="Times New Roman" w:cs="Times New Roman"/>
          <w:color w:val="000000" w:themeColor="text1"/>
          <w:sz w:val="24"/>
          <w:szCs w:val="24"/>
        </w:rPr>
        <w:t xml:space="preserve">concentrations in beach deposits and surrounding magmatic rocks at Ezine, </w:t>
      </w:r>
      <w:proofErr w:type="spellStart"/>
      <w:r w:rsidRPr="009E3327">
        <w:rPr>
          <w:rFonts w:ascii="Times New Roman" w:hAnsi="Times New Roman" w:cs="Times New Roman"/>
          <w:color w:val="000000" w:themeColor="text1"/>
          <w:sz w:val="24"/>
          <w:szCs w:val="24"/>
        </w:rPr>
        <w:t>Çanakkale</w:t>
      </w:r>
      <w:proofErr w:type="spellEnd"/>
      <w:r w:rsidRPr="009E3327">
        <w:rPr>
          <w:rFonts w:ascii="Times New Roman" w:hAnsi="Times New Roman" w:cs="Times New Roman"/>
          <w:color w:val="000000" w:themeColor="text1"/>
          <w:sz w:val="24"/>
          <w:szCs w:val="24"/>
        </w:rPr>
        <w:t xml:space="preserve">, are notably high. The specific activities of </w:t>
      </w:r>
      <w:r w:rsidRPr="009E3327">
        <w:rPr>
          <w:rFonts w:ascii="Times New Roman" w:hAnsi="Times New Roman" w:cs="Times New Roman"/>
          <w:color w:val="000000" w:themeColor="text1"/>
          <w:sz w:val="24"/>
          <w:szCs w:val="24"/>
          <w:vertAlign w:val="superscript"/>
        </w:rPr>
        <w:t>238</w:t>
      </w:r>
      <w:r w:rsidRPr="009E3327">
        <w:rPr>
          <w:rFonts w:ascii="Times New Roman" w:hAnsi="Times New Roman" w:cs="Times New Roman"/>
          <w:color w:val="000000" w:themeColor="text1"/>
          <w:sz w:val="24"/>
          <w:szCs w:val="24"/>
        </w:rPr>
        <w:t xml:space="preserve">U, </w:t>
      </w:r>
      <w:r w:rsidRPr="009E3327">
        <w:rPr>
          <w:rFonts w:ascii="Times New Roman" w:hAnsi="Times New Roman" w:cs="Times New Roman"/>
          <w:color w:val="000000" w:themeColor="text1"/>
          <w:sz w:val="24"/>
          <w:szCs w:val="24"/>
          <w:vertAlign w:val="superscript"/>
        </w:rPr>
        <w:t>232</w:t>
      </w:r>
      <w:r w:rsidRPr="009E3327">
        <w:rPr>
          <w:rFonts w:ascii="Times New Roman" w:hAnsi="Times New Roman" w:cs="Times New Roman"/>
          <w:color w:val="000000" w:themeColor="text1"/>
          <w:sz w:val="24"/>
          <w:szCs w:val="24"/>
        </w:rPr>
        <w:t xml:space="preserve">Th and </w:t>
      </w:r>
      <w:r w:rsidRPr="009E3327">
        <w:rPr>
          <w:rFonts w:ascii="Times New Roman" w:hAnsi="Times New Roman" w:cs="Times New Roman"/>
          <w:color w:val="000000" w:themeColor="text1"/>
          <w:sz w:val="24"/>
          <w:szCs w:val="24"/>
          <w:vertAlign w:val="superscript"/>
        </w:rPr>
        <w:t>40</w:t>
      </w:r>
      <w:r w:rsidRPr="009E3327">
        <w:rPr>
          <w:rFonts w:ascii="Times New Roman" w:hAnsi="Times New Roman" w:cs="Times New Roman"/>
          <w:color w:val="000000" w:themeColor="text1"/>
          <w:sz w:val="24"/>
          <w:szCs w:val="24"/>
        </w:rPr>
        <w:t xml:space="preserve">K are in the range of 40-361, 50-341 and 670-1572 </w:t>
      </w:r>
      <w:proofErr w:type="spellStart"/>
      <w:r w:rsidRPr="009E3327">
        <w:rPr>
          <w:rFonts w:ascii="Times New Roman" w:hAnsi="Times New Roman" w:cs="Times New Roman"/>
          <w:color w:val="000000" w:themeColor="text1"/>
          <w:sz w:val="24"/>
          <w:szCs w:val="24"/>
        </w:rPr>
        <w:t>Bq</w:t>
      </w:r>
      <w:proofErr w:type="spellEnd"/>
      <w:r w:rsidRPr="009E3327">
        <w:rPr>
          <w:rFonts w:ascii="Times New Roman" w:hAnsi="Times New Roman" w:cs="Times New Roman"/>
          <w:color w:val="000000" w:themeColor="text1"/>
          <w:sz w:val="24"/>
          <w:szCs w:val="24"/>
        </w:rPr>
        <w:t xml:space="preserve"> kg</w:t>
      </w:r>
      <w:r w:rsidRPr="009E3327">
        <w:rPr>
          <w:rFonts w:ascii="Times New Roman" w:hAnsi="Times New Roman" w:cs="Times New Roman"/>
          <w:color w:val="000000" w:themeColor="text1"/>
          <w:sz w:val="24"/>
          <w:szCs w:val="24"/>
          <w:vertAlign w:val="superscript"/>
        </w:rPr>
        <w:t>-1</w:t>
      </w:r>
      <w:r w:rsidRPr="009E3327">
        <w:rPr>
          <w:rFonts w:ascii="Times New Roman" w:hAnsi="Times New Roman" w:cs="Times New Roman"/>
          <w:color w:val="000000" w:themeColor="text1"/>
          <w:sz w:val="24"/>
          <w:szCs w:val="24"/>
        </w:rPr>
        <w:t>, respectively, for the magmatic rock suites. Bulk sand samples from the beaches exhibit even higher concentrations of natural</w:t>
      </w:r>
      <w:r w:rsidRPr="009E3327">
        <w:rPr>
          <w:rFonts w:ascii="Times New Roman" w:hAnsi="Times New Roman" w:cs="Times New Roman"/>
          <w:color w:val="000000" w:themeColor="text1"/>
          <w:sz w:val="24"/>
          <w:szCs w:val="24"/>
        </w:rPr>
        <w:t xml:space="preserve"> radioactivity</w:t>
      </w:r>
      <w:r w:rsidRPr="009E3327">
        <w:rPr>
          <w:rFonts w:ascii="Times New Roman" w:hAnsi="Times New Roman" w:cs="Times New Roman"/>
          <w:color w:val="000000" w:themeColor="text1"/>
          <w:sz w:val="24"/>
          <w:szCs w:val="24"/>
        </w:rPr>
        <w:t xml:space="preserve">: </w:t>
      </w:r>
      <w:proofErr w:type="spellStart"/>
      <w:r w:rsidRPr="009E3327">
        <w:rPr>
          <w:rFonts w:ascii="Times New Roman" w:hAnsi="Times New Roman" w:cs="Times New Roman"/>
          <w:color w:val="000000" w:themeColor="text1"/>
          <w:sz w:val="24"/>
          <w:szCs w:val="24"/>
        </w:rPr>
        <w:t>Hantepe</w:t>
      </w:r>
      <w:proofErr w:type="spellEnd"/>
      <w:r w:rsidRPr="009E3327">
        <w:rPr>
          <w:rFonts w:ascii="Times New Roman" w:hAnsi="Times New Roman" w:cs="Times New Roman"/>
          <w:color w:val="000000" w:themeColor="text1"/>
          <w:sz w:val="24"/>
          <w:szCs w:val="24"/>
        </w:rPr>
        <w:t xml:space="preserve"> beach, located near the contact of </w:t>
      </w:r>
      <w:proofErr w:type="spellStart"/>
      <w:r w:rsidRPr="009E3327">
        <w:rPr>
          <w:rFonts w:ascii="Times New Roman" w:hAnsi="Times New Roman" w:cs="Times New Roman"/>
          <w:color w:val="000000" w:themeColor="text1"/>
          <w:sz w:val="24"/>
          <w:szCs w:val="24"/>
        </w:rPr>
        <w:t>Kestanbol</w:t>
      </w:r>
      <w:proofErr w:type="spellEnd"/>
      <w:r w:rsidRPr="009E3327">
        <w:rPr>
          <w:rFonts w:ascii="Times New Roman" w:hAnsi="Times New Roman" w:cs="Times New Roman"/>
          <w:color w:val="000000" w:themeColor="text1"/>
          <w:sz w:val="24"/>
          <w:szCs w:val="24"/>
        </w:rPr>
        <w:t xml:space="preserve"> pluton with pre-Tertiary basement units display</w:t>
      </w:r>
      <w:r w:rsidRPr="009E3327">
        <w:rPr>
          <w:rFonts w:ascii="Times New Roman" w:hAnsi="Times New Roman" w:cs="Times New Roman"/>
          <w:color w:val="000000" w:themeColor="text1"/>
          <w:sz w:val="24"/>
          <w:szCs w:val="24"/>
        </w:rPr>
        <w:t xml:space="preserve">s extremely high </w:t>
      </w:r>
      <w:r w:rsidRPr="009E3327">
        <w:rPr>
          <w:rFonts w:ascii="Times New Roman" w:hAnsi="Times New Roman" w:cs="Times New Roman"/>
          <w:color w:val="000000" w:themeColor="text1"/>
          <w:sz w:val="24"/>
          <w:szCs w:val="24"/>
          <w:vertAlign w:val="superscript"/>
        </w:rPr>
        <w:t>238</w:t>
      </w:r>
      <w:r w:rsidRPr="009E3327">
        <w:rPr>
          <w:rFonts w:ascii="Times New Roman" w:hAnsi="Times New Roman" w:cs="Times New Roman"/>
          <w:color w:val="000000" w:themeColor="text1"/>
          <w:sz w:val="24"/>
          <w:szCs w:val="24"/>
        </w:rPr>
        <w:t xml:space="preserve">U (1885 </w:t>
      </w:r>
      <w:proofErr w:type="spellStart"/>
      <w:r w:rsidRPr="009E3327">
        <w:rPr>
          <w:rFonts w:ascii="Times New Roman" w:hAnsi="Times New Roman" w:cs="Times New Roman"/>
          <w:color w:val="000000" w:themeColor="text1"/>
          <w:sz w:val="24"/>
          <w:szCs w:val="24"/>
        </w:rPr>
        <w:t>Bq</w:t>
      </w:r>
      <w:proofErr w:type="spellEnd"/>
      <w:r w:rsidRPr="009E3327">
        <w:rPr>
          <w:rFonts w:ascii="Times New Roman" w:hAnsi="Times New Roman" w:cs="Times New Roman"/>
          <w:color w:val="000000" w:themeColor="text1"/>
          <w:sz w:val="24"/>
          <w:szCs w:val="24"/>
        </w:rPr>
        <w:t xml:space="preserve"> kg </w:t>
      </w:r>
      <w:r w:rsidRPr="009E3327">
        <w:rPr>
          <w:rFonts w:ascii="Times New Roman" w:hAnsi="Times New Roman" w:cs="Times New Roman"/>
          <w:color w:val="000000" w:themeColor="text1"/>
          <w:sz w:val="24"/>
          <w:szCs w:val="24"/>
          <w:vertAlign w:val="superscript"/>
        </w:rPr>
        <w:t>-1</w:t>
      </w:r>
      <w:r w:rsidRPr="009E3327">
        <w:rPr>
          <w:rFonts w:ascii="Times New Roman" w:hAnsi="Times New Roman" w:cs="Times New Roman"/>
          <w:color w:val="000000" w:themeColor="text1"/>
          <w:sz w:val="24"/>
          <w:szCs w:val="24"/>
        </w:rPr>
        <w:t xml:space="preserve">) and </w:t>
      </w:r>
      <w:r w:rsidRPr="009E3327">
        <w:rPr>
          <w:rFonts w:ascii="Times New Roman" w:hAnsi="Times New Roman" w:cs="Times New Roman"/>
          <w:color w:val="000000" w:themeColor="text1"/>
          <w:sz w:val="24"/>
          <w:szCs w:val="24"/>
          <w:vertAlign w:val="superscript"/>
        </w:rPr>
        <w:t>232</w:t>
      </w:r>
      <w:r w:rsidRPr="009E3327">
        <w:rPr>
          <w:rFonts w:ascii="Times New Roman" w:hAnsi="Times New Roman" w:cs="Times New Roman"/>
          <w:color w:val="000000" w:themeColor="text1"/>
          <w:sz w:val="24"/>
          <w:szCs w:val="24"/>
        </w:rPr>
        <w:t xml:space="preserve">Th (4360 </w:t>
      </w:r>
      <w:proofErr w:type="spellStart"/>
      <w:r w:rsidRPr="009E3327">
        <w:rPr>
          <w:rFonts w:ascii="Times New Roman" w:hAnsi="Times New Roman" w:cs="Times New Roman"/>
          <w:color w:val="000000" w:themeColor="text1"/>
          <w:sz w:val="24"/>
          <w:szCs w:val="24"/>
        </w:rPr>
        <w:t>Bq</w:t>
      </w:r>
      <w:proofErr w:type="spellEnd"/>
      <w:r w:rsidRPr="009E3327">
        <w:rPr>
          <w:rFonts w:ascii="Times New Roman" w:hAnsi="Times New Roman" w:cs="Times New Roman"/>
          <w:color w:val="000000" w:themeColor="text1"/>
          <w:sz w:val="24"/>
          <w:szCs w:val="24"/>
        </w:rPr>
        <w:t xml:space="preserve"> kg </w:t>
      </w:r>
      <w:r w:rsidRPr="009E3327">
        <w:rPr>
          <w:rFonts w:ascii="Times New Roman" w:hAnsi="Times New Roman" w:cs="Times New Roman"/>
          <w:color w:val="000000" w:themeColor="text1"/>
          <w:sz w:val="24"/>
          <w:szCs w:val="24"/>
          <w:vertAlign w:val="superscript"/>
        </w:rPr>
        <w:t>-1</w:t>
      </w:r>
      <w:r w:rsidRPr="009E3327">
        <w:rPr>
          <w:rFonts w:ascii="Times New Roman" w:hAnsi="Times New Roman" w:cs="Times New Roman"/>
          <w:color w:val="000000" w:themeColor="text1"/>
          <w:sz w:val="24"/>
          <w:szCs w:val="24"/>
        </w:rPr>
        <w:t xml:space="preserve">) with the lowest </w:t>
      </w:r>
      <w:r w:rsidRPr="009E3327">
        <w:rPr>
          <w:rFonts w:ascii="Times New Roman" w:hAnsi="Times New Roman" w:cs="Times New Roman"/>
          <w:color w:val="000000" w:themeColor="text1"/>
          <w:sz w:val="24"/>
          <w:szCs w:val="24"/>
          <w:vertAlign w:val="superscript"/>
        </w:rPr>
        <w:t>40</w:t>
      </w:r>
      <w:r w:rsidRPr="009E3327">
        <w:rPr>
          <w:rFonts w:ascii="Times New Roman" w:hAnsi="Times New Roman" w:cs="Times New Roman"/>
          <w:color w:val="000000" w:themeColor="text1"/>
          <w:sz w:val="24"/>
          <w:szCs w:val="24"/>
        </w:rPr>
        <w:t xml:space="preserve">K (687 </w:t>
      </w:r>
      <w:proofErr w:type="spellStart"/>
      <w:r w:rsidRPr="009E3327">
        <w:rPr>
          <w:rFonts w:ascii="Times New Roman" w:hAnsi="Times New Roman" w:cs="Times New Roman"/>
          <w:color w:val="000000" w:themeColor="text1"/>
          <w:sz w:val="24"/>
          <w:szCs w:val="24"/>
        </w:rPr>
        <w:t>Bq</w:t>
      </w:r>
      <w:proofErr w:type="spellEnd"/>
      <w:r w:rsidRPr="009E3327">
        <w:rPr>
          <w:rFonts w:ascii="Times New Roman" w:hAnsi="Times New Roman" w:cs="Times New Roman"/>
          <w:color w:val="000000" w:themeColor="text1"/>
          <w:sz w:val="24"/>
          <w:szCs w:val="24"/>
        </w:rPr>
        <w:t xml:space="preserve"> kg </w:t>
      </w:r>
      <w:r w:rsidRPr="009E3327">
        <w:rPr>
          <w:rFonts w:ascii="Times New Roman" w:hAnsi="Times New Roman" w:cs="Times New Roman"/>
          <w:color w:val="000000" w:themeColor="text1"/>
          <w:sz w:val="24"/>
          <w:szCs w:val="24"/>
          <w:vertAlign w:val="superscript"/>
        </w:rPr>
        <w:t>-1</w:t>
      </w:r>
      <w:r w:rsidRPr="009E3327">
        <w:rPr>
          <w:rFonts w:ascii="Times New Roman" w:hAnsi="Times New Roman" w:cs="Times New Roman"/>
          <w:color w:val="000000" w:themeColor="text1"/>
          <w:sz w:val="24"/>
          <w:szCs w:val="24"/>
        </w:rPr>
        <w:t xml:space="preserve">) activity concentrations.  </w:t>
      </w:r>
    </w:p>
    <w:p w14:paraId="78C81F0E" w14:textId="77777777" w:rsidR="00704BFA" w:rsidRPr="009E3327" w:rsidRDefault="00E605DF">
      <w:pPr>
        <w:spacing w:before="360" w:after="300" w:line="276" w:lineRule="auto"/>
        <w:ind w:left="720" w:right="567"/>
        <w:jc w:val="both"/>
        <w:rPr>
          <w:rFonts w:ascii="Times New Roman" w:hAnsi="Times New Roman" w:cs="Times New Roman"/>
          <w:color w:val="000000" w:themeColor="text1"/>
          <w:sz w:val="24"/>
          <w:szCs w:val="24"/>
        </w:rPr>
      </w:pPr>
      <w:r w:rsidRPr="009E3327">
        <w:rPr>
          <w:rFonts w:ascii="Times New Roman" w:hAnsi="Times New Roman" w:cs="Times New Roman"/>
          <w:color w:val="000000" w:themeColor="text1"/>
          <w:sz w:val="24"/>
          <w:szCs w:val="24"/>
        </w:rPr>
        <w:t xml:space="preserve">This enrichment at </w:t>
      </w:r>
      <w:proofErr w:type="spellStart"/>
      <w:r w:rsidRPr="009E3327">
        <w:rPr>
          <w:rFonts w:ascii="Times New Roman" w:hAnsi="Times New Roman" w:cs="Times New Roman"/>
          <w:color w:val="000000" w:themeColor="text1"/>
          <w:sz w:val="24"/>
          <w:szCs w:val="24"/>
        </w:rPr>
        <w:t>Hantepe</w:t>
      </w:r>
      <w:proofErr w:type="spellEnd"/>
      <w:r w:rsidRPr="009E3327">
        <w:rPr>
          <w:rFonts w:ascii="Times New Roman" w:hAnsi="Times New Roman" w:cs="Times New Roman"/>
          <w:color w:val="000000" w:themeColor="text1"/>
          <w:sz w:val="24"/>
          <w:szCs w:val="24"/>
        </w:rPr>
        <w:t xml:space="preserve"> beach was attributed to the U-bearing accessory minerals (zircon, apatite, thorite, </w:t>
      </w:r>
      <w:proofErr w:type="spellStart"/>
      <w:r w:rsidRPr="009E3327">
        <w:rPr>
          <w:rFonts w:ascii="Times New Roman" w:hAnsi="Times New Roman" w:cs="Times New Roman"/>
          <w:color w:val="000000" w:themeColor="text1"/>
          <w:sz w:val="24"/>
          <w:szCs w:val="24"/>
        </w:rPr>
        <w:t>uranothorite</w:t>
      </w:r>
      <w:proofErr w:type="spellEnd"/>
      <w:r w:rsidRPr="009E3327">
        <w:rPr>
          <w:rFonts w:ascii="Times New Roman" w:hAnsi="Times New Roman" w:cs="Times New Roman"/>
          <w:color w:val="000000" w:themeColor="text1"/>
          <w:sz w:val="24"/>
          <w:szCs w:val="24"/>
        </w:rPr>
        <w:t>, monaz</w:t>
      </w:r>
      <w:r w:rsidRPr="009E3327">
        <w:rPr>
          <w:rFonts w:ascii="Times New Roman" w:hAnsi="Times New Roman" w:cs="Times New Roman"/>
          <w:color w:val="000000" w:themeColor="text1"/>
          <w:sz w:val="24"/>
          <w:szCs w:val="24"/>
        </w:rPr>
        <w:t xml:space="preserve">ite, etc.) selectively rich along the northern margin of </w:t>
      </w:r>
      <w:proofErr w:type="spellStart"/>
      <w:r w:rsidRPr="009E3327">
        <w:rPr>
          <w:rFonts w:ascii="Times New Roman" w:hAnsi="Times New Roman" w:cs="Times New Roman"/>
          <w:color w:val="000000" w:themeColor="text1"/>
          <w:sz w:val="24"/>
          <w:szCs w:val="24"/>
        </w:rPr>
        <w:t>Kestanbol</w:t>
      </w:r>
      <w:proofErr w:type="spellEnd"/>
      <w:r w:rsidRPr="009E3327">
        <w:rPr>
          <w:rFonts w:ascii="Times New Roman" w:hAnsi="Times New Roman" w:cs="Times New Roman"/>
          <w:color w:val="000000" w:themeColor="text1"/>
          <w:sz w:val="24"/>
          <w:szCs w:val="24"/>
        </w:rPr>
        <w:t xml:space="preserve"> Pluton.  These minerals serve as Rare Earth Elements (REE) repositories, prompting an extensive investigation into the economic potential of radionuclide-rich beach sands at Ezine.  </w:t>
      </w:r>
    </w:p>
    <w:p w14:paraId="305C437D" w14:textId="77777777" w:rsidR="00704BFA" w:rsidRPr="009E3327" w:rsidRDefault="00E605DF">
      <w:pPr>
        <w:spacing w:before="360" w:after="300" w:line="276" w:lineRule="auto"/>
        <w:ind w:left="720" w:right="567"/>
        <w:jc w:val="both"/>
        <w:rPr>
          <w:rFonts w:ascii="Times New Roman" w:hAnsi="Times New Roman" w:cs="Times New Roman"/>
          <w:color w:val="000000" w:themeColor="text1"/>
          <w:sz w:val="24"/>
          <w:szCs w:val="24"/>
          <w:lang w:val="tr-TR"/>
        </w:rPr>
      </w:pPr>
      <w:r w:rsidRPr="009E3327">
        <w:rPr>
          <w:rFonts w:ascii="Times New Roman" w:hAnsi="Times New Roman" w:cs="Times New Roman"/>
          <w:color w:val="000000" w:themeColor="text1"/>
          <w:sz w:val="24"/>
          <w:szCs w:val="24"/>
        </w:rPr>
        <w:t>In thi</w:t>
      </w:r>
      <w:r w:rsidRPr="009E3327">
        <w:rPr>
          <w:rFonts w:ascii="Times New Roman" w:hAnsi="Times New Roman" w:cs="Times New Roman"/>
          <w:color w:val="000000" w:themeColor="text1"/>
          <w:sz w:val="24"/>
          <w:szCs w:val="24"/>
        </w:rPr>
        <w:t>s study, gamma ray spectrometry measurements were conducted on fractions of beach sands to identify the source minerals of the radioactivity. The sand fraction concentrated in diamagnetic and felsic minerals (K-feldspar + Plagioclase ± Quartz) with grain s</w:t>
      </w:r>
      <w:r w:rsidRPr="009E3327">
        <w:rPr>
          <w:rFonts w:ascii="Times New Roman" w:hAnsi="Times New Roman" w:cs="Times New Roman"/>
          <w:color w:val="000000" w:themeColor="text1"/>
          <w:sz w:val="24"/>
          <w:szCs w:val="24"/>
        </w:rPr>
        <w:t xml:space="preserve">izes ≥ 250 µ, exhibits the highest </w:t>
      </w:r>
      <w:r w:rsidRPr="009E3327">
        <w:rPr>
          <w:rFonts w:ascii="Times New Roman" w:hAnsi="Times New Roman" w:cs="Times New Roman"/>
          <w:color w:val="000000" w:themeColor="text1"/>
          <w:sz w:val="24"/>
          <w:szCs w:val="24"/>
          <w:vertAlign w:val="superscript"/>
        </w:rPr>
        <w:t>40</w:t>
      </w:r>
      <w:r w:rsidRPr="009E3327">
        <w:rPr>
          <w:rFonts w:ascii="Times New Roman" w:hAnsi="Times New Roman" w:cs="Times New Roman"/>
          <w:color w:val="000000" w:themeColor="text1"/>
          <w:sz w:val="24"/>
          <w:szCs w:val="24"/>
        </w:rPr>
        <w:t xml:space="preserve">K specific activity (1173.3 ± 133.5 </w:t>
      </w:r>
      <w:proofErr w:type="spellStart"/>
      <w:r w:rsidRPr="009E3327">
        <w:rPr>
          <w:rFonts w:ascii="Times New Roman" w:hAnsi="Times New Roman" w:cs="Times New Roman"/>
          <w:color w:val="000000" w:themeColor="text1"/>
          <w:sz w:val="24"/>
          <w:szCs w:val="24"/>
        </w:rPr>
        <w:t>Bq</w:t>
      </w:r>
      <w:proofErr w:type="spellEnd"/>
      <w:r w:rsidRPr="009E3327">
        <w:rPr>
          <w:rFonts w:ascii="Times New Roman" w:hAnsi="Times New Roman" w:cs="Times New Roman"/>
          <w:color w:val="000000" w:themeColor="text1"/>
          <w:sz w:val="24"/>
          <w:szCs w:val="24"/>
        </w:rPr>
        <w:t xml:space="preserve"> kg</w:t>
      </w:r>
      <w:r w:rsidRPr="009E3327">
        <w:rPr>
          <w:rFonts w:ascii="Times New Roman" w:hAnsi="Times New Roman" w:cs="Times New Roman"/>
          <w:color w:val="000000" w:themeColor="text1"/>
          <w:sz w:val="24"/>
          <w:szCs w:val="24"/>
          <w:vertAlign w:val="superscript"/>
        </w:rPr>
        <w:t>-1</w:t>
      </w:r>
      <w:r w:rsidRPr="009E3327">
        <w:rPr>
          <w:rFonts w:ascii="Times New Roman" w:hAnsi="Times New Roman" w:cs="Times New Roman"/>
          <w:color w:val="000000" w:themeColor="text1"/>
          <w:sz w:val="24"/>
          <w:szCs w:val="24"/>
        </w:rPr>
        <w:t xml:space="preserve">) but the lowest concentrations of </w:t>
      </w:r>
      <w:r w:rsidRPr="009E3327">
        <w:rPr>
          <w:rFonts w:ascii="Times New Roman" w:hAnsi="Times New Roman" w:cs="Times New Roman"/>
          <w:color w:val="000000" w:themeColor="text1"/>
          <w:sz w:val="24"/>
          <w:szCs w:val="24"/>
          <w:vertAlign w:val="superscript"/>
        </w:rPr>
        <w:t>238</w:t>
      </w:r>
      <w:r w:rsidRPr="009E3327">
        <w:rPr>
          <w:rFonts w:ascii="Times New Roman" w:hAnsi="Times New Roman" w:cs="Times New Roman"/>
          <w:color w:val="000000" w:themeColor="text1"/>
          <w:sz w:val="24"/>
          <w:szCs w:val="24"/>
        </w:rPr>
        <w:t xml:space="preserve">U (176.4 ± 18.1 </w:t>
      </w:r>
      <w:proofErr w:type="spellStart"/>
      <w:r w:rsidRPr="009E3327">
        <w:rPr>
          <w:rFonts w:ascii="Times New Roman" w:hAnsi="Times New Roman" w:cs="Times New Roman"/>
          <w:color w:val="000000" w:themeColor="text1"/>
          <w:sz w:val="24"/>
          <w:szCs w:val="24"/>
        </w:rPr>
        <w:t>Bq</w:t>
      </w:r>
      <w:proofErr w:type="spellEnd"/>
      <w:r w:rsidRPr="009E3327">
        <w:rPr>
          <w:rFonts w:ascii="Times New Roman" w:hAnsi="Times New Roman" w:cs="Times New Roman"/>
          <w:color w:val="000000" w:themeColor="text1"/>
          <w:sz w:val="24"/>
          <w:szCs w:val="24"/>
        </w:rPr>
        <w:t xml:space="preserve"> kg</w:t>
      </w:r>
      <w:r w:rsidRPr="009E3327">
        <w:rPr>
          <w:rFonts w:ascii="Times New Roman" w:hAnsi="Times New Roman" w:cs="Times New Roman"/>
          <w:color w:val="000000" w:themeColor="text1"/>
          <w:sz w:val="24"/>
          <w:szCs w:val="24"/>
          <w:vertAlign w:val="superscript"/>
        </w:rPr>
        <w:t>-1</w:t>
      </w:r>
      <w:r w:rsidRPr="009E3327">
        <w:rPr>
          <w:rFonts w:ascii="Times New Roman" w:hAnsi="Times New Roman" w:cs="Times New Roman"/>
          <w:color w:val="000000" w:themeColor="text1"/>
          <w:sz w:val="24"/>
          <w:szCs w:val="24"/>
        </w:rPr>
        <w:t xml:space="preserve">) and </w:t>
      </w:r>
      <w:r w:rsidRPr="009E3327">
        <w:rPr>
          <w:rFonts w:ascii="Times New Roman" w:hAnsi="Times New Roman" w:cs="Times New Roman"/>
          <w:color w:val="000000" w:themeColor="text1"/>
          <w:sz w:val="24"/>
          <w:szCs w:val="24"/>
          <w:vertAlign w:val="superscript"/>
        </w:rPr>
        <w:t>232</w:t>
      </w:r>
      <w:r w:rsidRPr="009E3327">
        <w:rPr>
          <w:rFonts w:ascii="Times New Roman" w:hAnsi="Times New Roman" w:cs="Times New Roman"/>
          <w:color w:val="000000" w:themeColor="text1"/>
          <w:sz w:val="24"/>
          <w:szCs w:val="24"/>
        </w:rPr>
        <w:t xml:space="preserve">Th series </w:t>
      </w:r>
      <w:r w:rsidRPr="009E3327">
        <w:rPr>
          <w:rFonts w:ascii="Times New Roman" w:hAnsi="Times New Roman" w:cs="Times New Roman"/>
          <w:color w:val="000000" w:themeColor="text1"/>
          <w:sz w:val="24"/>
          <w:szCs w:val="24"/>
        </w:rPr>
        <w:lastRenderedPageBreak/>
        <w:t xml:space="preserve">(197.8 ± 21.9 </w:t>
      </w:r>
      <w:proofErr w:type="spellStart"/>
      <w:r w:rsidRPr="009E3327">
        <w:rPr>
          <w:rFonts w:ascii="Times New Roman" w:hAnsi="Times New Roman" w:cs="Times New Roman"/>
          <w:color w:val="000000" w:themeColor="text1"/>
          <w:sz w:val="24"/>
          <w:szCs w:val="24"/>
        </w:rPr>
        <w:t>Bq</w:t>
      </w:r>
      <w:proofErr w:type="spellEnd"/>
      <w:r w:rsidRPr="009E3327">
        <w:rPr>
          <w:rFonts w:ascii="Times New Roman" w:hAnsi="Times New Roman" w:cs="Times New Roman"/>
          <w:color w:val="000000" w:themeColor="text1"/>
          <w:sz w:val="24"/>
          <w:szCs w:val="24"/>
        </w:rPr>
        <w:t xml:space="preserve"> kg</w:t>
      </w:r>
      <w:r w:rsidRPr="009E3327">
        <w:rPr>
          <w:rFonts w:ascii="Times New Roman" w:hAnsi="Times New Roman" w:cs="Times New Roman"/>
          <w:color w:val="000000" w:themeColor="text1"/>
          <w:sz w:val="24"/>
          <w:szCs w:val="24"/>
          <w:vertAlign w:val="superscript"/>
        </w:rPr>
        <w:t>-1</w:t>
      </w:r>
      <w:r w:rsidRPr="009E3327">
        <w:rPr>
          <w:rFonts w:ascii="Times New Roman" w:hAnsi="Times New Roman" w:cs="Times New Roman"/>
          <w:color w:val="000000" w:themeColor="text1"/>
          <w:sz w:val="24"/>
          <w:szCs w:val="24"/>
        </w:rPr>
        <w:t>). On the contrary, the fraction rich in paramagnetic and mafic minerals (P</w:t>
      </w:r>
      <w:r w:rsidRPr="009E3327">
        <w:rPr>
          <w:rFonts w:ascii="Times New Roman" w:hAnsi="Times New Roman" w:cs="Times New Roman"/>
          <w:color w:val="000000" w:themeColor="text1"/>
          <w:sz w:val="24"/>
          <w:szCs w:val="24"/>
        </w:rPr>
        <w:t xml:space="preserve">yroxene + Amphibole + Biotite + Epidote ± </w:t>
      </w:r>
      <w:proofErr w:type="spellStart"/>
      <w:r w:rsidRPr="009E3327">
        <w:rPr>
          <w:rFonts w:ascii="Times New Roman" w:hAnsi="Times New Roman" w:cs="Times New Roman"/>
          <w:color w:val="000000" w:themeColor="text1"/>
          <w:sz w:val="24"/>
          <w:szCs w:val="24"/>
        </w:rPr>
        <w:t>Granat</w:t>
      </w:r>
      <w:proofErr w:type="spellEnd"/>
      <w:r w:rsidRPr="009E3327">
        <w:rPr>
          <w:rFonts w:ascii="Times New Roman" w:hAnsi="Times New Roman" w:cs="Times New Roman"/>
          <w:color w:val="000000" w:themeColor="text1"/>
          <w:sz w:val="24"/>
          <w:szCs w:val="24"/>
        </w:rPr>
        <w:t xml:space="preserve">) with the grain sizes &lt; 125 µm has the most elevated concentrations of </w:t>
      </w:r>
      <w:r w:rsidRPr="009E3327">
        <w:rPr>
          <w:rFonts w:ascii="Times New Roman" w:hAnsi="Times New Roman" w:cs="Times New Roman"/>
          <w:color w:val="000000" w:themeColor="text1"/>
          <w:sz w:val="24"/>
          <w:szCs w:val="24"/>
          <w:vertAlign w:val="superscript"/>
        </w:rPr>
        <w:t>238</w:t>
      </w:r>
      <w:r w:rsidRPr="009E3327">
        <w:rPr>
          <w:rFonts w:ascii="Times New Roman" w:hAnsi="Times New Roman" w:cs="Times New Roman"/>
          <w:color w:val="000000" w:themeColor="text1"/>
          <w:sz w:val="24"/>
          <w:szCs w:val="24"/>
        </w:rPr>
        <w:t xml:space="preserve">U (884.5 ± 56.6 </w:t>
      </w:r>
      <w:proofErr w:type="spellStart"/>
      <w:r w:rsidRPr="009E3327">
        <w:rPr>
          <w:rFonts w:ascii="Times New Roman" w:hAnsi="Times New Roman" w:cs="Times New Roman"/>
          <w:color w:val="000000" w:themeColor="text1"/>
          <w:sz w:val="24"/>
          <w:szCs w:val="24"/>
        </w:rPr>
        <w:t>Bq</w:t>
      </w:r>
      <w:proofErr w:type="spellEnd"/>
      <w:r w:rsidRPr="009E3327">
        <w:rPr>
          <w:rFonts w:ascii="Times New Roman" w:hAnsi="Times New Roman" w:cs="Times New Roman"/>
          <w:color w:val="000000" w:themeColor="text1"/>
          <w:sz w:val="24"/>
          <w:szCs w:val="24"/>
        </w:rPr>
        <w:t xml:space="preserve"> kg</w:t>
      </w:r>
      <w:r w:rsidRPr="009E3327">
        <w:rPr>
          <w:rFonts w:ascii="Times New Roman" w:hAnsi="Times New Roman" w:cs="Times New Roman"/>
          <w:color w:val="000000" w:themeColor="text1"/>
          <w:sz w:val="24"/>
          <w:szCs w:val="24"/>
          <w:vertAlign w:val="superscript"/>
        </w:rPr>
        <w:t>-1</w:t>
      </w:r>
      <w:r w:rsidRPr="009E3327">
        <w:rPr>
          <w:rFonts w:ascii="Times New Roman" w:hAnsi="Times New Roman" w:cs="Times New Roman"/>
          <w:color w:val="000000" w:themeColor="text1"/>
          <w:sz w:val="24"/>
          <w:szCs w:val="24"/>
        </w:rPr>
        <w:t xml:space="preserve">) and </w:t>
      </w:r>
      <w:r w:rsidRPr="009E3327">
        <w:rPr>
          <w:rFonts w:ascii="Times New Roman" w:hAnsi="Times New Roman" w:cs="Times New Roman"/>
          <w:color w:val="000000" w:themeColor="text1"/>
          <w:sz w:val="24"/>
          <w:szCs w:val="24"/>
          <w:vertAlign w:val="superscript"/>
        </w:rPr>
        <w:t>232</w:t>
      </w:r>
      <w:r w:rsidRPr="009E3327">
        <w:rPr>
          <w:rFonts w:ascii="Times New Roman" w:hAnsi="Times New Roman" w:cs="Times New Roman"/>
          <w:color w:val="000000" w:themeColor="text1"/>
          <w:sz w:val="24"/>
          <w:szCs w:val="24"/>
        </w:rPr>
        <w:t xml:space="preserve">Th (1332.9 ± 99.1 </w:t>
      </w:r>
      <w:proofErr w:type="spellStart"/>
      <w:r w:rsidRPr="009E3327">
        <w:rPr>
          <w:rFonts w:ascii="Times New Roman" w:hAnsi="Times New Roman" w:cs="Times New Roman"/>
          <w:color w:val="000000" w:themeColor="text1"/>
          <w:sz w:val="24"/>
          <w:szCs w:val="24"/>
        </w:rPr>
        <w:t>Bq</w:t>
      </w:r>
      <w:proofErr w:type="spellEnd"/>
      <w:r w:rsidRPr="009E3327">
        <w:rPr>
          <w:rFonts w:ascii="Times New Roman" w:hAnsi="Times New Roman" w:cs="Times New Roman"/>
          <w:color w:val="000000" w:themeColor="text1"/>
          <w:sz w:val="24"/>
          <w:szCs w:val="24"/>
        </w:rPr>
        <w:t xml:space="preserve"> kg</w:t>
      </w:r>
      <w:r w:rsidRPr="009E3327">
        <w:rPr>
          <w:rFonts w:ascii="Times New Roman" w:hAnsi="Times New Roman" w:cs="Times New Roman"/>
          <w:color w:val="000000" w:themeColor="text1"/>
          <w:sz w:val="24"/>
          <w:szCs w:val="24"/>
          <w:vertAlign w:val="superscript"/>
        </w:rPr>
        <w:t>-1</w:t>
      </w:r>
      <w:r w:rsidRPr="009E3327">
        <w:rPr>
          <w:rFonts w:ascii="Times New Roman" w:hAnsi="Times New Roman" w:cs="Times New Roman"/>
          <w:color w:val="000000" w:themeColor="text1"/>
          <w:sz w:val="24"/>
          <w:szCs w:val="24"/>
        </w:rPr>
        <w:t xml:space="preserve">) series and slightly elevated </w:t>
      </w:r>
      <w:r w:rsidRPr="009E3327">
        <w:rPr>
          <w:rFonts w:ascii="Times New Roman" w:hAnsi="Times New Roman" w:cs="Times New Roman"/>
          <w:color w:val="000000" w:themeColor="text1"/>
          <w:sz w:val="24"/>
          <w:szCs w:val="24"/>
          <w:vertAlign w:val="superscript"/>
        </w:rPr>
        <w:t>40</w:t>
      </w:r>
      <w:r w:rsidRPr="009E3327">
        <w:rPr>
          <w:rFonts w:ascii="Times New Roman" w:hAnsi="Times New Roman" w:cs="Times New Roman"/>
          <w:color w:val="000000" w:themeColor="text1"/>
          <w:sz w:val="24"/>
          <w:szCs w:val="24"/>
        </w:rPr>
        <w:t xml:space="preserve">K (436.4 ± 50.3 </w:t>
      </w:r>
      <w:proofErr w:type="spellStart"/>
      <w:r w:rsidRPr="009E3327">
        <w:rPr>
          <w:rFonts w:ascii="Times New Roman" w:hAnsi="Times New Roman" w:cs="Times New Roman"/>
          <w:color w:val="000000" w:themeColor="text1"/>
          <w:sz w:val="24"/>
          <w:szCs w:val="24"/>
        </w:rPr>
        <w:t>Bq</w:t>
      </w:r>
      <w:proofErr w:type="spellEnd"/>
      <w:r w:rsidRPr="009E3327">
        <w:rPr>
          <w:rFonts w:ascii="Times New Roman" w:hAnsi="Times New Roman" w:cs="Times New Roman"/>
          <w:color w:val="000000" w:themeColor="text1"/>
          <w:sz w:val="24"/>
          <w:szCs w:val="24"/>
        </w:rPr>
        <w:t xml:space="preserve"> kg</w:t>
      </w:r>
      <w:r w:rsidRPr="009E3327">
        <w:rPr>
          <w:rFonts w:ascii="Times New Roman" w:hAnsi="Times New Roman" w:cs="Times New Roman"/>
          <w:color w:val="000000" w:themeColor="text1"/>
          <w:sz w:val="24"/>
          <w:szCs w:val="24"/>
          <w:vertAlign w:val="superscript"/>
        </w:rPr>
        <w:t>-1</w:t>
      </w:r>
      <w:r w:rsidRPr="009E3327">
        <w:rPr>
          <w:rFonts w:ascii="Times New Roman" w:hAnsi="Times New Roman" w:cs="Times New Roman"/>
          <w:color w:val="000000" w:themeColor="text1"/>
          <w:sz w:val="24"/>
          <w:szCs w:val="24"/>
        </w:rPr>
        <w:t>), compared to the E</w:t>
      </w:r>
      <w:r w:rsidRPr="009E3327">
        <w:rPr>
          <w:rFonts w:ascii="Times New Roman" w:hAnsi="Times New Roman" w:cs="Times New Roman"/>
          <w:color w:val="000000" w:themeColor="text1"/>
          <w:sz w:val="24"/>
          <w:szCs w:val="24"/>
        </w:rPr>
        <w:t>arth’s average. These findings suggest that the rock-forming minerals in the magmatic rocks are also responsible for the natural high radioactivity in the region</w:t>
      </w:r>
      <w:r w:rsidRPr="009E3327">
        <w:rPr>
          <w:rFonts w:ascii="Times New Roman" w:hAnsi="Times New Roman" w:cs="Times New Roman"/>
          <w:color w:val="000000" w:themeColor="text1"/>
          <w:sz w:val="24"/>
          <w:szCs w:val="24"/>
          <w:lang w:val="tr-TR"/>
        </w:rPr>
        <w:t>.</w:t>
      </w:r>
    </w:p>
    <w:p w14:paraId="5E95DF5C" w14:textId="4790A0CF" w:rsidR="00704BFA" w:rsidRDefault="00E605DF">
      <w:pPr>
        <w:spacing w:line="276" w:lineRule="auto"/>
        <w:rPr>
          <w:rFonts w:ascii="Times New Roman" w:hAnsi="Times New Roman" w:cs="Times New Roman"/>
          <w:sz w:val="24"/>
          <w:szCs w:val="24"/>
          <w:lang w:val="tr-TR"/>
        </w:rPr>
        <w:sectPr w:rsidR="00704BFA">
          <w:headerReference w:type="even" r:id="rId7"/>
          <w:headerReference w:type="default" r:id="rId8"/>
          <w:footerReference w:type="default" r:id="rId9"/>
          <w:headerReference w:type="first" r:id="rId10"/>
          <w:footerReference w:type="first" r:id="rId11"/>
          <w:pgSz w:w="12240" w:h="15840"/>
          <w:pgMar w:top="1440" w:right="1440" w:bottom="1440" w:left="1440" w:header="708" w:footer="737" w:gutter="0"/>
          <w:cols w:space="720"/>
          <w:formProt w:val="0"/>
          <w:titlePg/>
          <w:docGrid w:linePitch="360" w:charSpace="4096"/>
        </w:sectPr>
      </w:pPr>
      <w:r>
        <w:rPr>
          <w:rFonts w:ascii="Times New Roman" w:hAnsi="Times New Roman" w:cs="Times New Roman"/>
          <w:b/>
          <w:bCs/>
          <w:sz w:val="24"/>
          <w:szCs w:val="24"/>
          <w:lang w:val="tr-TR"/>
        </w:rPr>
        <w:t xml:space="preserve">Keywords: </w:t>
      </w:r>
      <w:r>
        <w:rPr>
          <w:rFonts w:ascii="Times New Roman" w:hAnsi="Times New Roman" w:cs="Times New Roman"/>
          <w:sz w:val="24"/>
          <w:szCs w:val="24"/>
          <w:lang w:val="tr-TR"/>
        </w:rPr>
        <w:t>Natural radioactivity, Beach Sands, Magmatic Rocks, Rare Earth Elements, Gamma-</w:t>
      </w:r>
      <w:r>
        <w:rPr>
          <w:rFonts w:ascii="Times New Roman" w:hAnsi="Times New Roman" w:cs="Times New Roman"/>
          <w:sz w:val="24"/>
          <w:szCs w:val="24"/>
          <w:lang w:val="tr-TR"/>
        </w:rPr>
        <w:t xml:space="preserve"> Spectroscopy </w:t>
      </w:r>
    </w:p>
    <w:p w14:paraId="36A6BB2B" w14:textId="77777777" w:rsidR="00704BFA" w:rsidRDefault="00E605DF">
      <w:pPr>
        <w:spacing w:line="276" w:lineRule="auto"/>
        <w:jc w:val="center"/>
        <w:rPr>
          <w:rFonts w:ascii="Garamond" w:hAnsi="Garamond"/>
          <w:b/>
          <w:color w:val="000000" w:themeColor="text1"/>
          <w:sz w:val="28"/>
          <w:szCs w:val="28"/>
        </w:rPr>
      </w:pPr>
      <w:r>
        <w:rPr>
          <w:rFonts w:ascii="Garamond" w:hAnsi="Garamond"/>
          <w:b/>
          <w:noProof/>
          <w:color w:val="000000" w:themeColor="text1"/>
          <w:sz w:val="28"/>
          <w:szCs w:val="28"/>
        </w:rPr>
        <w:lastRenderedPageBreak/>
        <mc:AlternateContent>
          <mc:Choice Requires="wps">
            <w:drawing>
              <wp:anchor distT="0" distB="26670" distL="0" distR="27940" simplePos="0" relativeHeight="8" behindDoc="1" locked="0" layoutInCell="0" allowOverlap="1" wp14:anchorId="070F70F0" wp14:editId="766C515E">
                <wp:simplePos x="0" y="0"/>
                <wp:positionH relativeFrom="page">
                  <wp:align>left</wp:align>
                </wp:positionH>
                <wp:positionV relativeFrom="page">
                  <wp:posOffset>1888490</wp:posOffset>
                </wp:positionV>
                <wp:extent cx="7763510" cy="1344930"/>
                <wp:effectExtent l="6350" t="6350" r="6350" b="6350"/>
                <wp:wrapNone/>
                <wp:docPr id="9" name="Dikdörtgen 1"/>
                <wp:cNvGraphicFramePr/>
                <a:graphic xmlns:a="http://schemas.openxmlformats.org/drawingml/2006/main">
                  <a:graphicData uri="http://schemas.microsoft.com/office/word/2010/wordprocessingShape">
                    <wps:wsp>
                      <wps:cNvSpPr/>
                      <wps:spPr>
                        <a:xfrm>
                          <a:off x="0" y="0"/>
                          <a:ext cx="7763400" cy="1344960"/>
                        </a:xfrm>
                        <a:prstGeom prst="rect">
                          <a:avLst/>
                        </a:prstGeom>
                        <a:solidFill>
                          <a:srgbClr val="C00000"/>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4FDFFE96" w14:textId="77777777" w:rsidR="00704BFA" w:rsidRDefault="00E605DF">
                            <w:pPr>
                              <w:pStyle w:val="Heading1"/>
                            </w:pPr>
                            <w:proofErr w:type="spellStart"/>
                            <w:r>
                              <w:rPr>
                                <w:rStyle w:val="Heading1Char"/>
                                <w:b/>
                                <w:bCs/>
                              </w:rPr>
                              <w:t>Batı</w:t>
                            </w:r>
                            <w:proofErr w:type="spellEnd"/>
                            <w:r>
                              <w:rPr>
                                <w:rStyle w:val="Heading1Char"/>
                                <w:b/>
                                <w:bCs/>
                              </w:rPr>
                              <w:t xml:space="preserve"> </w:t>
                            </w:r>
                            <w:proofErr w:type="spellStart"/>
                            <w:r>
                              <w:rPr>
                                <w:rStyle w:val="Heading1Char"/>
                                <w:b/>
                                <w:bCs/>
                              </w:rPr>
                              <w:t>Anadolu'd</w:t>
                            </w:r>
                            <w:r>
                              <w:rPr>
                                <w:rStyle w:val="Heading1Char"/>
                                <w:b/>
                                <w:bCs/>
                              </w:rPr>
                              <w:t>a</w:t>
                            </w:r>
                            <w:proofErr w:type="spellEnd"/>
                            <w:r>
                              <w:rPr>
                                <w:rStyle w:val="Heading1Char"/>
                                <w:b/>
                                <w:bCs/>
                              </w:rPr>
                              <w:t xml:space="preserve"> (</w:t>
                            </w:r>
                            <w:proofErr w:type="spellStart"/>
                            <w:r>
                              <w:rPr>
                                <w:rStyle w:val="Heading1Char"/>
                                <w:b/>
                                <w:bCs/>
                              </w:rPr>
                              <w:t>Çanakkale</w:t>
                            </w:r>
                            <w:proofErr w:type="spellEnd"/>
                            <w:r>
                              <w:rPr>
                                <w:rStyle w:val="Heading1Char"/>
                                <w:b/>
                                <w:bCs/>
                              </w:rPr>
                              <w:t xml:space="preserve">) </w:t>
                            </w:r>
                            <w:proofErr w:type="spellStart"/>
                            <w:r>
                              <w:rPr>
                                <w:rStyle w:val="Heading1Char"/>
                                <w:b/>
                                <w:bCs/>
                              </w:rPr>
                              <w:t>radyonüklid</w:t>
                            </w:r>
                            <w:proofErr w:type="spellEnd"/>
                            <w:r>
                              <w:rPr>
                                <w:rStyle w:val="Heading1Char"/>
                                <w:b/>
                                <w:bCs/>
                              </w:rPr>
                              <w:t xml:space="preserve"> </w:t>
                            </w:r>
                            <w:proofErr w:type="spellStart"/>
                            <w:r>
                              <w:rPr>
                                <w:rStyle w:val="Heading1Char"/>
                                <w:b/>
                                <w:bCs/>
                              </w:rPr>
                              <w:t>bakımından</w:t>
                            </w:r>
                            <w:proofErr w:type="spellEnd"/>
                            <w:r>
                              <w:rPr>
                                <w:rStyle w:val="Heading1Char"/>
                                <w:b/>
                                <w:bCs/>
                              </w:rPr>
                              <w:t xml:space="preserve"> </w:t>
                            </w:r>
                            <w:proofErr w:type="spellStart"/>
                            <w:r>
                              <w:rPr>
                                <w:rStyle w:val="Heading1Char"/>
                                <w:b/>
                                <w:bCs/>
                              </w:rPr>
                              <w:t>zengin</w:t>
                            </w:r>
                            <w:proofErr w:type="spellEnd"/>
                            <w:r>
                              <w:rPr>
                                <w:rStyle w:val="Heading1Char"/>
                                <w:b/>
                                <w:bCs/>
                              </w:rPr>
                              <w:t xml:space="preserve"> </w:t>
                            </w:r>
                            <w:proofErr w:type="spellStart"/>
                            <w:r>
                              <w:rPr>
                                <w:rStyle w:val="Heading1Char"/>
                                <w:b/>
                                <w:bCs/>
                              </w:rPr>
                              <w:t>doğal</w:t>
                            </w:r>
                            <w:proofErr w:type="spellEnd"/>
                            <w:r>
                              <w:rPr>
                                <w:rStyle w:val="Heading1Char"/>
                                <w:b/>
                                <w:bCs/>
                              </w:rPr>
                              <w:t xml:space="preserve"> </w:t>
                            </w:r>
                            <w:proofErr w:type="spellStart"/>
                            <w:r>
                              <w:rPr>
                                <w:rStyle w:val="Heading1Char"/>
                                <w:b/>
                                <w:bCs/>
                              </w:rPr>
                              <w:t>plaj</w:t>
                            </w:r>
                            <w:proofErr w:type="spellEnd"/>
                            <w:r>
                              <w:rPr>
                                <w:rStyle w:val="Heading1Char"/>
                                <w:b/>
                                <w:bCs/>
                              </w:rPr>
                              <w:t xml:space="preserve"> </w:t>
                            </w:r>
                            <w:proofErr w:type="spellStart"/>
                            <w:r>
                              <w:rPr>
                                <w:rStyle w:val="Heading1Char"/>
                                <w:b/>
                                <w:bCs/>
                              </w:rPr>
                              <w:t>kumlarının</w:t>
                            </w:r>
                            <w:proofErr w:type="spellEnd"/>
                            <w:r>
                              <w:rPr>
                                <w:rStyle w:val="Heading1Char"/>
                                <w:b/>
                                <w:bCs/>
                              </w:rPr>
                              <w:t xml:space="preserve"> </w:t>
                            </w:r>
                            <w:proofErr w:type="spellStart"/>
                            <w:r>
                              <w:rPr>
                                <w:rStyle w:val="Heading1Char"/>
                                <w:b/>
                                <w:bCs/>
                              </w:rPr>
                              <w:t>mineralojik</w:t>
                            </w:r>
                            <w:proofErr w:type="spellEnd"/>
                            <w:r>
                              <w:rPr>
                                <w:rStyle w:val="Heading1Char"/>
                                <w:b/>
                                <w:bCs/>
                              </w:rPr>
                              <w:t xml:space="preserve"> </w:t>
                            </w:r>
                            <w:proofErr w:type="spellStart"/>
                            <w:r>
                              <w:rPr>
                                <w:rStyle w:val="Heading1Char"/>
                                <w:b/>
                                <w:bCs/>
                              </w:rPr>
                              <w:t>değerlendirilmesi</w:t>
                            </w:r>
                            <w:proofErr w:type="spellEnd"/>
                          </w:p>
                        </w:txbxContent>
                      </wps:txbx>
                      <wps:bodyPr anchor="ctr">
                        <a:prstTxWarp prst="textNoShape">
                          <a:avLst/>
                        </a:prstTxWarp>
                        <a:noAutofit/>
                      </wps:bodyPr>
                    </wps:wsp>
                  </a:graphicData>
                </a:graphic>
              </wp:anchor>
            </w:drawing>
          </mc:Choice>
          <mc:Fallback>
            <w:pict>
              <v:rect id="shape_0" ID="Dikdörtgen 1" path="m0,0l-2147483645,0l-2147483645,-2147483646l0,-2147483646xe" fillcolor="#c00000" stroked="t" o:allowincell="f" style="position:absolute;margin-left:0pt;margin-top:148.7pt;width:611.25pt;height:105.85pt;mso-wrap-style:square;v-text-anchor:middle;mso-position-horizontal:left;mso-position-horizontal-relative:page;mso-position-vertical-relative:page" wp14:anchorId="7D68E513">
                <v:fill o:detectmouseclick="t" type="solid" color2="#3fffff"/>
                <v:stroke color="#43729d" weight="12600" joinstyle="miter" endcap="flat"/>
                <v:textbox>
                  <w:txbxContent>
                    <w:p>
                      <w:pPr>
                        <w:pStyle w:val="Heading1"/>
                        <w:keepNext w:val="true"/>
                        <w:overflowPunct w:val="true"/>
                        <w:spacing w:lineRule="auto" w:line="360" w:before="280" w:after="0"/>
                        <w:jc w:val="center"/>
                        <w:textAlignment w:val="baseline"/>
                        <w:rPr/>
                      </w:pPr>
                      <w:r>
                        <w:rPr>
                          <w:rStyle w:val="Heading1Char"/>
                          <w:b/>
                          <w:bCs/>
                        </w:rPr>
                        <w:t>Batı Anadolu'da (Çanakkale) radyonüklid bakımından zengin doğal plaj kumlarının mineralojik değerlendirilmesi</w:t>
                      </w:r>
                    </w:p>
                  </w:txbxContent>
                </v:textbox>
                <w10:wrap type="none"/>
              </v:rect>
            </w:pict>
          </mc:Fallback>
        </mc:AlternateContent>
      </w:r>
    </w:p>
    <w:p w14:paraId="356725EE" w14:textId="77777777" w:rsidR="00704BFA" w:rsidRDefault="00704BFA">
      <w:pPr>
        <w:spacing w:line="276" w:lineRule="auto"/>
      </w:pPr>
    </w:p>
    <w:p w14:paraId="5126F5F9" w14:textId="77777777" w:rsidR="00704BFA" w:rsidRDefault="00704BFA">
      <w:pPr>
        <w:spacing w:line="276" w:lineRule="auto"/>
      </w:pPr>
    </w:p>
    <w:p w14:paraId="5EB73B7B" w14:textId="77777777" w:rsidR="00704BFA" w:rsidRDefault="00704BFA">
      <w:pPr>
        <w:spacing w:line="276" w:lineRule="auto"/>
      </w:pPr>
    </w:p>
    <w:p w14:paraId="3671B859" w14:textId="77777777" w:rsidR="00704BFA" w:rsidRDefault="00E605DF">
      <w:pPr>
        <w:pStyle w:val="Subtitle"/>
        <w:tabs>
          <w:tab w:val="left" w:pos="3663"/>
        </w:tabs>
      </w:pPr>
      <w:r>
        <w:tab/>
      </w:r>
    </w:p>
    <w:p w14:paraId="43B9FFEE" w14:textId="77777777" w:rsidR="00704BFA" w:rsidRDefault="00704BFA">
      <w:pPr>
        <w:pStyle w:val="Subtitle"/>
      </w:pPr>
    </w:p>
    <w:p w14:paraId="519C1FE2" w14:textId="77777777" w:rsidR="00704BFA" w:rsidRDefault="00704BFA">
      <w:pPr>
        <w:pStyle w:val="Subtitle"/>
      </w:pPr>
    </w:p>
    <w:p w14:paraId="6D7FF372" w14:textId="77777777" w:rsidR="00704BFA" w:rsidRDefault="00E605DF">
      <w:pPr>
        <w:pStyle w:val="Heading2"/>
        <w:jc w:val="right"/>
        <w:rPr>
          <w:lang w:val="tr-TR"/>
        </w:rPr>
      </w:pPr>
      <w:r>
        <w:rPr>
          <w:lang w:val="tr-TR"/>
        </w:rPr>
        <w:t>Fatma Gülmez Yıldırım</w:t>
      </w:r>
      <w:r>
        <w:rPr>
          <w:rStyle w:val="FootnoteAnchor"/>
          <w:b/>
          <w:color w:val="auto"/>
          <w:szCs w:val="24"/>
        </w:rPr>
        <w:footnoteReference w:id="3"/>
      </w:r>
    </w:p>
    <w:p w14:paraId="60AB4E27" w14:textId="77777777" w:rsidR="00704BFA" w:rsidRDefault="00E605DF">
      <w:pPr>
        <w:pStyle w:val="Heading2"/>
        <w:jc w:val="right"/>
        <w:rPr>
          <w:lang w:val="tr-TR"/>
        </w:rPr>
      </w:pPr>
      <w:r>
        <w:rPr>
          <w:lang w:val="tr-TR"/>
        </w:rPr>
        <w:t>Aydın Yıldırım</w:t>
      </w:r>
      <w:r>
        <w:rPr>
          <w:rStyle w:val="FootnoteCharacters"/>
          <w:lang w:val="tr-TR"/>
        </w:rPr>
        <w:t xml:space="preserve"> </w:t>
      </w:r>
      <w:r>
        <w:rPr>
          <w:rStyle w:val="FootnoteAnchor"/>
        </w:rPr>
        <w:footnoteReference w:id="4"/>
      </w:r>
    </w:p>
    <w:p w14:paraId="26E2242F" w14:textId="77777777" w:rsidR="00704BFA" w:rsidRDefault="00704BFA">
      <w:pPr>
        <w:spacing w:line="276" w:lineRule="auto"/>
        <w:rPr>
          <w:rFonts w:ascii="Times New Roman" w:hAnsi="Times New Roman" w:cs="Times New Roman"/>
          <w:lang w:val="tr-TR"/>
        </w:rPr>
      </w:pPr>
    </w:p>
    <w:p w14:paraId="4C92D5C5" w14:textId="77777777" w:rsidR="00704BFA" w:rsidRDefault="00E605DF">
      <w:pPr>
        <w:spacing w:line="276" w:lineRule="auto"/>
        <w:rPr>
          <w:rFonts w:ascii="Times New Roman" w:hAnsi="Times New Roman" w:cs="Times New Roman"/>
          <w:b/>
          <w:bCs/>
          <w:sz w:val="24"/>
          <w:szCs w:val="24"/>
          <w:lang w:val="tr-TR"/>
        </w:rPr>
      </w:pPr>
      <w:r>
        <w:rPr>
          <w:rFonts w:ascii="Times New Roman" w:hAnsi="Times New Roman" w:cs="Times New Roman"/>
          <w:b/>
          <w:bCs/>
          <w:sz w:val="24"/>
          <w:szCs w:val="24"/>
          <w:lang w:val="tr-TR"/>
        </w:rPr>
        <w:t>Öz</w:t>
      </w:r>
    </w:p>
    <w:p w14:paraId="381FD756" w14:textId="5607A7F1" w:rsidR="00704BFA" w:rsidRDefault="00E605DF">
      <w:pPr>
        <w:spacing w:before="360" w:after="300" w:line="276" w:lineRule="auto"/>
        <w:ind w:left="720" w:right="567"/>
        <w:jc w:val="both"/>
        <w:rPr>
          <w:lang w:val="tr-TR"/>
        </w:rPr>
      </w:pPr>
      <w:r>
        <w:rPr>
          <w:rFonts w:ascii="Times New Roman" w:hAnsi="Times New Roman" w:cs="Times New Roman"/>
          <w:sz w:val="24"/>
          <w:szCs w:val="24"/>
          <w:lang w:val="tr-TR"/>
        </w:rPr>
        <w:t xml:space="preserve">Batı Anadolu’da Ezine (Çanakkale) dolaylarındaki plajlara ait kumların ve plajların yakınındaki magmatik kayaların doğal </w:t>
      </w:r>
      <w:r w:rsidRPr="009E3327">
        <w:rPr>
          <w:rFonts w:ascii="Times New Roman" w:hAnsi="Times New Roman" w:cs="Times New Roman"/>
          <w:color w:val="000000" w:themeColor="text1"/>
          <w:sz w:val="24"/>
          <w:szCs w:val="24"/>
          <w:lang w:val="tr-TR"/>
        </w:rPr>
        <w:t>radyoaktivite</w:t>
      </w:r>
      <w:r w:rsidRPr="009E3327">
        <w:rPr>
          <w:rFonts w:ascii="Times New Roman" w:hAnsi="Times New Roman" w:cs="Times New Roman"/>
          <w:color w:val="000000" w:themeColor="text1"/>
          <w:sz w:val="24"/>
          <w:szCs w:val="24"/>
          <w:lang w:val="tr-TR"/>
        </w:rPr>
        <w:t xml:space="preserve"> </w:t>
      </w:r>
      <w:r>
        <w:rPr>
          <w:rFonts w:ascii="Times New Roman" w:hAnsi="Times New Roman" w:cs="Times New Roman"/>
          <w:sz w:val="24"/>
          <w:szCs w:val="24"/>
          <w:lang w:val="tr-TR"/>
        </w:rPr>
        <w:t>konsantrayonları oldukça yükektir. Magmatik</w:t>
      </w:r>
      <w:r w:rsidRPr="009E3327">
        <w:rPr>
          <w:rFonts w:ascii="Times New Roman" w:hAnsi="Times New Roman" w:cs="Times New Roman"/>
          <w:color w:val="000000" w:themeColor="text1"/>
          <w:sz w:val="24"/>
          <w:szCs w:val="24"/>
          <w:lang w:val="tr-TR"/>
        </w:rPr>
        <w:t xml:space="preserve"> </w:t>
      </w:r>
      <w:r w:rsidRPr="009E3327">
        <w:rPr>
          <w:rFonts w:ascii="Times New Roman" w:hAnsi="Times New Roman" w:cs="Times New Roman"/>
          <w:color w:val="000000" w:themeColor="text1"/>
          <w:sz w:val="24"/>
          <w:szCs w:val="24"/>
          <w:lang w:val="tr-TR"/>
        </w:rPr>
        <w:t>kaya</w:t>
      </w:r>
      <w:r w:rsidRPr="009E3327">
        <w:rPr>
          <w:rFonts w:ascii="Times New Roman" w:hAnsi="Times New Roman" w:cs="Times New Roman"/>
          <w:color w:val="000000" w:themeColor="text1"/>
          <w:sz w:val="24"/>
          <w:szCs w:val="24"/>
          <w:lang w:val="tr-TR"/>
        </w:rPr>
        <w:t xml:space="preserve"> </w:t>
      </w:r>
      <w:r>
        <w:rPr>
          <w:rFonts w:ascii="Times New Roman" w:hAnsi="Times New Roman" w:cs="Times New Roman"/>
          <w:sz w:val="24"/>
          <w:szCs w:val="24"/>
          <w:lang w:val="tr-TR"/>
        </w:rPr>
        <w:t xml:space="preserve">grupları için </w:t>
      </w:r>
      <w:r>
        <w:rPr>
          <w:rFonts w:ascii="Times New Roman" w:hAnsi="Times New Roman" w:cs="Times New Roman"/>
          <w:sz w:val="24"/>
          <w:szCs w:val="24"/>
          <w:vertAlign w:val="superscript"/>
          <w:lang w:val="tr-TR"/>
        </w:rPr>
        <w:t>238</w:t>
      </w:r>
      <w:r>
        <w:rPr>
          <w:rFonts w:ascii="Times New Roman" w:hAnsi="Times New Roman" w:cs="Times New Roman"/>
          <w:sz w:val="24"/>
          <w:szCs w:val="24"/>
          <w:lang w:val="tr-TR"/>
        </w:rPr>
        <w:t xml:space="preserve">U serisi, </w:t>
      </w:r>
      <w:r>
        <w:rPr>
          <w:rFonts w:ascii="Times New Roman" w:hAnsi="Times New Roman" w:cs="Times New Roman"/>
          <w:sz w:val="24"/>
          <w:szCs w:val="24"/>
          <w:vertAlign w:val="superscript"/>
          <w:lang w:val="tr-TR"/>
        </w:rPr>
        <w:t>232</w:t>
      </w:r>
      <w:r>
        <w:rPr>
          <w:rFonts w:ascii="Times New Roman" w:hAnsi="Times New Roman" w:cs="Times New Roman"/>
          <w:sz w:val="24"/>
          <w:szCs w:val="24"/>
          <w:lang w:val="tr-TR"/>
        </w:rPr>
        <w:t xml:space="preserve">Th serisi ve </w:t>
      </w:r>
      <w:r>
        <w:rPr>
          <w:rFonts w:ascii="Times New Roman" w:hAnsi="Times New Roman" w:cs="Times New Roman"/>
          <w:sz w:val="24"/>
          <w:szCs w:val="24"/>
          <w:vertAlign w:val="superscript"/>
          <w:lang w:val="tr-TR"/>
        </w:rPr>
        <w:t>40</w:t>
      </w:r>
      <w:r>
        <w:rPr>
          <w:rFonts w:ascii="Times New Roman" w:hAnsi="Times New Roman" w:cs="Times New Roman"/>
          <w:sz w:val="24"/>
          <w:szCs w:val="24"/>
          <w:lang w:val="tr-TR"/>
        </w:rPr>
        <w:t>K spesifik akti</w:t>
      </w:r>
      <w:r>
        <w:rPr>
          <w:rFonts w:ascii="Times New Roman" w:hAnsi="Times New Roman" w:cs="Times New Roman"/>
          <w:sz w:val="24"/>
          <w:szCs w:val="24"/>
          <w:lang w:val="tr-TR"/>
        </w:rPr>
        <w:t>viteleri sırasıyla 40-361, 50-341 ve 670-1572 Bq kg</w:t>
      </w:r>
      <w:r>
        <w:rPr>
          <w:rFonts w:ascii="Times New Roman" w:hAnsi="Times New Roman" w:cs="Times New Roman"/>
          <w:sz w:val="24"/>
          <w:szCs w:val="24"/>
          <w:vertAlign w:val="superscript"/>
          <w:lang w:val="tr-TR"/>
        </w:rPr>
        <w:t>-1</w:t>
      </w:r>
      <w:r>
        <w:rPr>
          <w:rFonts w:ascii="Times New Roman" w:hAnsi="Times New Roman" w:cs="Times New Roman"/>
          <w:sz w:val="24"/>
          <w:szCs w:val="24"/>
          <w:lang w:val="tr-TR"/>
        </w:rPr>
        <w:t xml:space="preserve"> aralığındadır. Plajlardan derlenen dökme kum örneklerinde ise </w:t>
      </w:r>
      <w:r w:rsidRPr="009E3327">
        <w:rPr>
          <w:rFonts w:ascii="Times New Roman" w:hAnsi="Times New Roman" w:cs="Times New Roman"/>
          <w:color w:val="000000" w:themeColor="text1"/>
          <w:sz w:val="24"/>
          <w:szCs w:val="24"/>
          <w:lang w:val="tr-TR"/>
        </w:rPr>
        <w:t>radyoaktivite</w:t>
      </w:r>
      <w:r w:rsidRPr="009E3327">
        <w:rPr>
          <w:rFonts w:ascii="Times New Roman" w:hAnsi="Times New Roman" w:cs="Times New Roman"/>
          <w:color w:val="000000" w:themeColor="text1"/>
          <w:sz w:val="24"/>
          <w:szCs w:val="24"/>
          <w:lang w:val="tr-TR"/>
        </w:rPr>
        <w:t xml:space="preserve"> </w:t>
      </w:r>
      <w:r>
        <w:rPr>
          <w:rFonts w:ascii="Times New Roman" w:hAnsi="Times New Roman" w:cs="Times New Roman"/>
          <w:sz w:val="24"/>
          <w:szCs w:val="24"/>
          <w:lang w:val="tr-TR"/>
        </w:rPr>
        <w:t>konsantrasyonların daha da yüksek olduğu ortaya konulmuştur: Kestanbol plütonu ile Tersiyer öncesi temel  kayaları</w:t>
      </w:r>
      <w:r>
        <w:rPr>
          <w:rFonts w:ascii="Times New Roman" w:hAnsi="Times New Roman" w:cs="Times New Roman"/>
          <w:sz w:val="24"/>
          <w:szCs w:val="24"/>
          <w:lang w:val="tr-TR"/>
        </w:rPr>
        <w:t xml:space="preserve">n sınırına yakın bir alanda konumlanmış olan Hantepe plajına ait kum örnekleri en yüksek </w:t>
      </w:r>
      <w:r>
        <w:rPr>
          <w:rFonts w:ascii="Times New Roman" w:hAnsi="Times New Roman" w:cs="Times New Roman"/>
          <w:sz w:val="24"/>
          <w:szCs w:val="24"/>
          <w:vertAlign w:val="superscript"/>
          <w:lang w:val="tr-TR"/>
        </w:rPr>
        <w:t>238</w:t>
      </w:r>
      <w:r>
        <w:rPr>
          <w:rFonts w:ascii="Times New Roman" w:hAnsi="Times New Roman" w:cs="Times New Roman"/>
          <w:sz w:val="24"/>
          <w:szCs w:val="24"/>
          <w:lang w:val="tr-TR"/>
        </w:rPr>
        <w:t xml:space="preserve">U serisi (1885 Bq kg </w:t>
      </w:r>
      <w:r>
        <w:rPr>
          <w:rFonts w:ascii="Times New Roman" w:hAnsi="Times New Roman" w:cs="Times New Roman"/>
          <w:sz w:val="24"/>
          <w:szCs w:val="24"/>
          <w:vertAlign w:val="superscript"/>
          <w:lang w:val="tr-TR"/>
        </w:rPr>
        <w:t>-1</w:t>
      </w:r>
      <w:r>
        <w:rPr>
          <w:rFonts w:ascii="Times New Roman" w:hAnsi="Times New Roman" w:cs="Times New Roman"/>
          <w:sz w:val="24"/>
          <w:szCs w:val="24"/>
          <w:lang w:val="tr-TR"/>
        </w:rPr>
        <w:t xml:space="preserve">) ve </w:t>
      </w:r>
      <w:r>
        <w:rPr>
          <w:rFonts w:ascii="Times New Roman" w:hAnsi="Times New Roman" w:cs="Times New Roman"/>
          <w:sz w:val="24"/>
          <w:szCs w:val="24"/>
          <w:vertAlign w:val="superscript"/>
          <w:lang w:val="tr-TR"/>
        </w:rPr>
        <w:t>232</w:t>
      </w:r>
      <w:r>
        <w:rPr>
          <w:rFonts w:ascii="Times New Roman" w:hAnsi="Times New Roman" w:cs="Times New Roman"/>
          <w:sz w:val="24"/>
          <w:szCs w:val="24"/>
          <w:lang w:val="tr-TR"/>
        </w:rPr>
        <w:t xml:space="preserve">Th serisi (4360 Bq kg </w:t>
      </w:r>
      <w:r>
        <w:rPr>
          <w:rFonts w:ascii="Times New Roman" w:hAnsi="Times New Roman" w:cs="Times New Roman"/>
          <w:sz w:val="24"/>
          <w:szCs w:val="24"/>
          <w:vertAlign w:val="superscript"/>
          <w:lang w:val="tr-TR"/>
        </w:rPr>
        <w:t>-1</w:t>
      </w:r>
      <w:r>
        <w:rPr>
          <w:rFonts w:ascii="Times New Roman" w:hAnsi="Times New Roman" w:cs="Times New Roman"/>
          <w:sz w:val="24"/>
          <w:szCs w:val="24"/>
          <w:lang w:val="tr-TR"/>
        </w:rPr>
        <w:t xml:space="preserve">) ile en düşük </w:t>
      </w:r>
      <w:r>
        <w:rPr>
          <w:rFonts w:ascii="Times New Roman" w:hAnsi="Times New Roman" w:cs="Times New Roman"/>
          <w:sz w:val="24"/>
          <w:szCs w:val="24"/>
          <w:vertAlign w:val="superscript"/>
          <w:lang w:val="tr-TR"/>
        </w:rPr>
        <w:t>40</w:t>
      </w:r>
      <w:r>
        <w:rPr>
          <w:rFonts w:ascii="Times New Roman" w:hAnsi="Times New Roman" w:cs="Times New Roman"/>
          <w:sz w:val="24"/>
          <w:szCs w:val="24"/>
          <w:lang w:val="tr-TR"/>
        </w:rPr>
        <w:t xml:space="preserve">K (687 Bq kg </w:t>
      </w:r>
      <w:r>
        <w:rPr>
          <w:rFonts w:ascii="Times New Roman" w:hAnsi="Times New Roman" w:cs="Times New Roman"/>
          <w:sz w:val="24"/>
          <w:szCs w:val="24"/>
          <w:vertAlign w:val="superscript"/>
          <w:lang w:val="tr-TR"/>
        </w:rPr>
        <w:t>-1</w:t>
      </w:r>
      <w:r>
        <w:rPr>
          <w:rFonts w:ascii="Times New Roman" w:hAnsi="Times New Roman" w:cs="Times New Roman"/>
          <w:sz w:val="24"/>
          <w:szCs w:val="24"/>
          <w:lang w:val="tr-TR"/>
        </w:rPr>
        <w:t xml:space="preserve">) aktivite konsantrayonlarına sahiptir.  </w:t>
      </w:r>
    </w:p>
    <w:p w14:paraId="3894BFE1" w14:textId="77777777" w:rsidR="00704BFA" w:rsidRDefault="00E605DF">
      <w:pPr>
        <w:spacing w:before="360" w:after="300" w:line="276" w:lineRule="auto"/>
        <w:ind w:left="720" w:right="567"/>
        <w:jc w:val="both"/>
        <w:rPr>
          <w:lang w:val="tr-TR"/>
        </w:rPr>
      </w:pPr>
      <w:r>
        <w:rPr>
          <w:rFonts w:ascii="Times New Roman" w:hAnsi="Times New Roman" w:cs="Times New Roman"/>
          <w:sz w:val="24"/>
          <w:szCs w:val="24"/>
          <w:lang w:val="tr-TR"/>
        </w:rPr>
        <w:t>Hantepe sahilindeki bu zenginleşme,</w:t>
      </w:r>
      <w:r>
        <w:rPr>
          <w:rFonts w:ascii="Times New Roman" w:hAnsi="Times New Roman" w:cs="Times New Roman"/>
          <w:sz w:val="24"/>
          <w:szCs w:val="24"/>
          <w:lang w:val="tr-TR"/>
        </w:rPr>
        <w:t xml:space="preserve"> Kestanbol Plütonu'nun kuzey kenarı boyunca seçici olarak zengin olduğu öne sürülen Uranyumlu aksesuar minerallere (zirkon, apatit, torit, uranotorit, monazit, vb.) atfedilmiştir.  Bu mineraller, yüksek Nadir Toprak Elementleri (NTE) içeriklerine sahip old</w:t>
      </w:r>
      <w:r>
        <w:rPr>
          <w:rFonts w:ascii="Times New Roman" w:hAnsi="Times New Roman" w:cs="Times New Roman"/>
          <w:sz w:val="24"/>
          <w:szCs w:val="24"/>
          <w:lang w:val="tr-TR"/>
        </w:rPr>
        <w:t xml:space="preserve">uklarından, Ezine'deki radyonüklid zengin plaj kumlarının ekonomik potansiyelleri önem kazanmıştır.  </w:t>
      </w:r>
    </w:p>
    <w:p w14:paraId="3D91F913" w14:textId="77777777" w:rsidR="00704BFA" w:rsidRDefault="00E605DF">
      <w:pPr>
        <w:spacing w:before="360" w:after="300" w:line="276" w:lineRule="auto"/>
        <w:ind w:left="720" w:right="567"/>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Bu çalışmada, radyoaktivitenin kaynak minerallerini belirlemek için </w:t>
      </w:r>
      <w:r>
        <w:rPr>
          <w:rFonts w:ascii="Times New Roman" w:hAnsi="Times New Roman" w:cs="Times New Roman"/>
          <w:strike/>
          <w:color w:val="C9211E"/>
          <w:sz w:val="24"/>
          <w:szCs w:val="24"/>
          <w:lang w:val="tr-TR"/>
        </w:rPr>
        <w:t>p</w:t>
      </w:r>
      <w:r>
        <w:rPr>
          <w:rFonts w:ascii="Times New Roman" w:hAnsi="Times New Roman" w:cs="Times New Roman"/>
          <w:sz w:val="24"/>
          <w:szCs w:val="24"/>
          <w:lang w:val="tr-TR"/>
        </w:rPr>
        <w:t xml:space="preserve">plajlardan derlenen dökme kum örneklerinden elde edilen fraksiyonlar üzerinde gama ışını spektrometresi ölçümleri yapılmıştır. Tane boyutları ≥ 250 µm olan, diyamanyetik ve felsik minerallerin  (K-feldispat+ Plajiyoklaz ± Kuvars) yoğun olduğu fraksiyonda </w:t>
      </w:r>
      <w:r>
        <w:rPr>
          <w:rFonts w:ascii="Times New Roman" w:hAnsi="Times New Roman" w:cs="Times New Roman"/>
          <w:sz w:val="24"/>
          <w:szCs w:val="24"/>
          <w:vertAlign w:val="superscript"/>
          <w:lang w:val="tr-TR"/>
        </w:rPr>
        <w:lastRenderedPageBreak/>
        <w:t>4</w:t>
      </w:r>
      <w:r>
        <w:rPr>
          <w:rFonts w:ascii="Times New Roman" w:hAnsi="Times New Roman" w:cs="Times New Roman"/>
          <w:sz w:val="24"/>
          <w:szCs w:val="24"/>
          <w:vertAlign w:val="superscript"/>
          <w:lang w:val="tr-TR"/>
        </w:rPr>
        <w:t>0</w:t>
      </w:r>
      <w:r>
        <w:rPr>
          <w:rFonts w:ascii="Times New Roman" w:hAnsi="Times New Roman" w:cs="Times New Roman"/>
          <w:sz w:val="24"/>
          <w:szCs w:val="24"/>
          <w:lang w:val="tr-TR"/>
        </w:rPr>
        <w:t>K spesifik aktivitesinin (1173.3 ± 133.5 Bq kg</w:t>
      </w:r>
      <w:r>
        <w:rPr>
          <w:rFonts w:ascii="Times New Roman" w:hAnsi="Times New Roman" w:cs="Times New Roman"/>
          <w:sz w:val="24"/>
          <w:szCs w:val="24"/>
          <w:vertAlign w:val="superscript"/>
          <w:lang w:val="tr-TR"/>
        </w:rPr>
        <w:t>-1</w:t>
      </w:r>
      <w:r>
        <w:rPr>
          <w:rFonts w:ascii="Times New Roman" w:hAnsi="Times New Roman" w:cs="Times New Roman"/>
          <w:sz w:val="24"/>
          <w:szCs w:val="24"/>
          <w:lang w:val="tr-TR"/>
        </w:rPr>
        <w:t xml:space="preserve">) en yüksek değerlere ulaştığı, </w:t>
      </w:r>
      <w:r>
        <w:rPr>
          <w:rFonts w:ascii="Times New Roman" w:hAnsi="Times New Roman" w:cs="Times New Roman"/>
          <w:sz w:val="24"/>
          <w:szCs w:val="24"/>
          <w:vertAlign w:val="superscript"/>
          <w:lang w:val="tr-TR"/>
        </w:rPr>
        <w:t>238</w:t>
      </w:r>
      <w:r>
        <w:rPr>
          <w:rFonts w:ascii="Times New Roman" w:hAnsi="Times New Roman" w:cs="Times New Roman"/>
          <w:sz w:val="24"/>
          <w:szCs w:val="24"/>
          <w:lang w:val="tr-TR"/>
        </w:rPr>
        <w:t>U (176.4 ± 18.1 Bq kg</w:t>
      </w:r>
      <w:r>
        <w:rPr>
          <w:rFonts w:ascii="Times New Roman" w:hAnsi="Times New Roman" w:cs="Times New Roman"/>
          <w:sz w:val="24"/>
          <w:szCs w:val="24"/>
          <w:vertAlign w:val="superscript"/>
          <w:lang w:val="tr-TR"/>
        </w:rPr>
        <w:t>-1</w:t>
      </w:r>
      <w:r>
        <w:rPr>
          <w:rFonts w:ascii="Times New Roman" w:hAnsi="Times New Roman" w:cs="Times New Roman"/>
          <w:sz w:val="24"/>
          <w:szCs w:val="24"/>
          <w:lang w:val="tr-TR"/>
        </w:rPr>
        <w:t xml:space="preserve">) ve </w:t>
      </w:r>
      <w:r>
        <w:rPr>
          <w:rFonts w:ascii="Times New Roman" w:hAnsi="Times New Roman" w:cs="Times New Roman"/>
          <w:sz w:val="24"/>
          <w:szCs w:val="24"/>
          <w:vertAlign w:val="superscript"/>
          <w:lang w:val="tr-TR"/>
        </w:rPr>
        <w:t>232</w:t>
      </w:r>
      <w:r>
        <w:rPr>
          <w:rFonts w:ascii="Times New Roman" w:hAnsi="Times New Roman" w:cs="Times New Roman"/>
          <w:sz w:val="24"/>
          <w:szCs w:val="24"/>
          <w:lang w:val="tr-TR"/>
        </w:rPr>
        <w:t>Th serisinin (197.8 ± 21.9 Bq kg</w:t>
      </w:r>
      <w:r>
        <w:rPr>
          <w:rFonts w:ascii="Times New Roman" w:hAnsi="Times New Roman" w:cs="Times New Roman"/>
          <w:sz w:val="24"/>
          <w:szCs w:val="24"/>
          <w:vertAlign w:val="superscript"/>
          <w:lang w:val="tr-TR"/>
        </w:rPr>
        <w:t>-1</w:t>
      </w:r>
      <w:r>
        <w:rPr>
          <w:rFonts w:ascii="Times New Roman" w:hAnsi="Times New Roman" w:cs="Times New Roman"/>
          <w:sz w:val="24"/>
          <w:szCs w:val="24"/>
          <w:lang w:val="tr-TR"/>
        </w:rPr>
        <w:t>) ise en düşük değerlerde olduğu belirlenmiştir. Bununla birlikte, tane boyu &lt; 125 µm olan, paramanyetik ve</w:t>
      </w:r>
      <w:r>
        <w:rPr>
          <w:rFonts w:ascii="Times New Roman" w:hAnsi="Times New Roman" w:cs="Times New Roman"/>
          <w:sz w:val="24"/>
          <w:szCs w:val="24"/>
          <w:lang w:val="tr-TR"/>
        </w:rPr>
        <w:t xml:space="preserve"> mafik minerallerce (Piroksen + Amfibol + Biyotit + Epidot ± Granat) zengin olan fazda ise </w:t>
      </w:r>
      <w:r>
        <w:rPr>
          <w:rFonts w:ascii="Times New Roman" w:hAnsi="Times New Roman" w:cs="Times New Roman"/>
          <w:sz w:val="24"/>
          <w:szCs w:val="24"/>
          <w:vertAlign w:val="superscript"/>
          <w:lang w:val="tr-TR"/>
        </w:rPr>
        <w:t>238</w:t>
      </w:r>
      <w:r>
        <w:rPr>
          <w:rFonts w:ascii="Times New Roman" w:hAnsi="Times New Roman" w:cs="Times New Roman"/>
          <w:sz w:val="24"/>
          <w:szCs w:val="24"/>
          <w:lang w:val="tr-TR"/>
        </w:rPr>
        <w:t>U (884.5 ± 56.6 Bq kg</w:t>
      </w:r>
      <w:r>
        <w:rPr>
          <w:rFonts w:ascii="Times New Roman" w:hAnsi="Times New Roman" w:cs="Times New Roman"/>
          <w:sz w:val="24"/>
          <w:szCs w:val="24"/>
          <w:vertAlign w:val="superscript"/>
          <w:lang w:val="tr-TR"/>
        </w:rPr>
        <w:t>-1</w:t>
      </w:r>
      <w:r>
        <w:rPr>
          <w:rFonts w:ascii="Times New Roman" w:hAnsi="Times New Roman" w:cs="Times New Roman"/>
          <w:sz w:val="24"/>
          <w:szCs w:val="24"/>
          <w:lang w:val="tr-TR"/>
        </w:rPr>
        <w:t xml:space="preserve">) ve </w:t>
      </w:r>
      <w:r>
        <w:rPr>
          <w:rFonts w:ascii="Times New Roman" w:hAnsi="Times New Roman" w:cs="Times New Roman"/>
          <w:sz w:val="24"/>
          <w:szCs w:val="24"/>
          <w:vertAlign w:val="superscript"/>
          <w:lang w:val="tr-TR"/>
        </w:rPr>
        <w:t>232</w:t>
      </w:r>
      <w:r>
        <w:rPr>
          <w:rFonts w:ascii="Times New Roman" w:hAnsi="Times New Roman" w:cs="Times New Roman"/>
          <w:sz w:val="24"/>
          <w:szCs w:val="24"/>
          <w:lang w:val="tr-TR"/>
        </w:rPr>
        <w:t>Th (1332.9 ± 99.1 Bq kg</w:t>
      </w:r>
      <w:r>
        <w:rPr>
          <w:rFonts w:ascii="Times New Roman" w:hAnsi="Times New Roman" w:cs="Times New Roman"/>
          <w:sz w:val="24"/>
          <w:szCs w:val="24"/>
          <w:vertAlign w:val="superscript"/>
          <w:lang w:val="tr-TR"/>
        </w:rPr>
        <w:t>-1</w:t>
      </w:r>
      <w:r>
        <w:rPr>
          <w:rFonts w:ascii="Times New Roman" w:hAnsi="Times New Roman" w:cs="Times New Roman"/>
          <w:sz w:val="24"/>
          <w:szCs w:val="24"/>
          <w:lang w:val="tr-TR"/>
        </w:rPr>
        <w:t xml:space="preserve">) serisi spesifik aktivitesinin en yüksek değerlere ulaştığı, </w:t>
      </w:r>
      <w:r>
        <w:rPr>
          <w:rFonts w:ascii="Times New Roman" w:hAnsi="Times New Roman" w:cs="Times New Roman"/>
          <w:sz w:val="24"/>
          <w:szCs w:val="24"/>
          <w:vertAlign w:val="superscript"/>
          <w:lang w:val="tr-TR"/>
        </w:rPr>
        <w:t>40</w:t>
      </w:r>
      <w:r>
        <w:rPr>
          <w:rFonts w:ascii="Times New Roman" w:hAnsi="Times New Roman" w:cs="Times New Roman"/>
          <w:sz w:val="24"/>
          <w:szCs w:val="24"/>
          <w:lang w:val="tr-TR"/>
        </w:rPr>
        <w:t>K spesifik aktivitesinin ise (436.4 ± 50.3</w:t>
      </w:r>
      <w:r>
        <w:rPr>
          <w:rFonts w:ascii="Times New Roman" w:hAnsi="Times New Roman" w:cs="Times New Roman"/>
          <w:sz w:val="24"/>
          <w:szCs w:val="24"/>
          <w:lang w:val="tr-TR"/>
        </w:rPr>
        <w:t xml:space="preserve"> Bq kg</w:t>
      </w:r>
      <w:r>
        <w:rPr>
          <w:rFonts w:ascii="Times New Roman" w:hAnsi="Times New Roman" w:cs="Times New Roman"/>
          <w:sz w:val="24"/>
          <w:szCs w:val="24"/>
          <w:vertAlign w:val="superscript"/>
          <w:lang w:val="tr-TR"/>
        </w:rPr>
        <w:t>-1</w:t>
      </w:r>
      <w:r>
        <w:rPr>
          <w:rFonts w:ascii="Times New Roman" w:hAnsi="Times New Roman" w:cs="Times New Roman"/>
          <w:sz w:val="24"/>
          <w:szCs w:val="24"/>
          <w:lang w:val="tr-TR"/>
        </w:rPr>
        <w:t xml:space="preserve">), Dünya ortalamasının hafifçe üzerinde olduğu tespit edilmiştir. Bu bulgular, magmatik kayalardan türeyerek plaj kumlarına katılan  kayaç yapıcı minerallerin de bölgedeki yüksek doğal radyoaktivite değerlerinden sorumlu olduğunu gösterir. </w:t>
      </w:r>
    </w:p>
    <w:p w14:paraId="240D1BAE" w14:textId="1ECB8D02" w:rsidR="00704BFA" w:rsidRDefault="00E605DF">
      <w:pPr>
        <w:spacing w:line="276" w:lineRule="auto"/>
        <w:rPr>
          <w:rFonts w:ascii="Times New Roman" w:hAnsi="Times New Roman" w:cs="Times New Roman"/>
          <w:sz w:val="24"/>
          <w:szCs w:val="24"/>
          <w:lang w:val="tr-TR"/>
        </w:rPr>
      </w:pPr>
      <w:r>
        <w:rPr>
          <w:rFonts w:ascii="Times New Roman" w:hAnsi="Times New Roman" w:cs="Times New Roman"/>
          <w:b/>
          <w:bCs/>
          <w:sz w:val="24"/>
          <w:szCs w:val="24"/>
          <w:lang w:val="tr-TR"/>
        </w:rPr>
        <w:t>Keyword</w:t>
      </w:r>
      <w:r>
        <w:rPr>
          <w:rFonts w:ascii="Times New Roman" w:hAnsi="Times New Roman" w:cs="Times New Roman"/>
          <w:b/>
          <w:bCs/>
          <w:sz w:val="24"/>
          <w:szCs w:val="24"/>
          <w:lang w:val="tr-TR"/>
        </w:rPr>
        <w:t xml:space="preserve">s: </w:t>
      </w:r>
      <w:r>
        <w:rPr>
          <w:rFonts w:ascii="Times New Roman" w:hAnsi="Times New Roman" w:cs="Times New Roman"/>
          <w:sz w:val="24"/>
          <w:szCs w:val="24"/>
          <w:lang w:val="tr-TR"/>
        </w:rPr>
        <w:t>Doğa</w:t>
      </w:r>
      <w:r w:rsidR="009E3327">
        <w:rPr>
          <w:rFonts w:ascii="Times New Roman" w:hAnsi="Times New Roman" w:cs="Times New Roman"/>
          <w:sz w:val="24"/>
          <w:szCs w:val="24"/>
          <w:lang w:val="tr-TR"/>
        </w:rPr>
        <w:t>l</w:t>
      </w:r>
      <w:r>
        <w:rPr>
          <w:rFonts w:ascii="Times New Roman" w:hAnsi="Times New Roman" w:cs="Times New Roman"/>
          <w:sz w:val="24"/>
          <w:szCs w:val="24"/>
          <w:lang w:val="tr-TR"/>
        </w:rPr>
        <w:t xml:space="preserve"> radyoaktivite, Plaj Kum</w:t>
      </w:r>
      <w:r w:rsidR="009E3327">
        <w:rPr>
          <w:rFonts w:ascii="Times New Roman" w:hAnsi="Times New Roman" w:cs="Times New Roman"/>
          <w:sz w:val="24"/>
          <w:szCs w:val="24"/>
          <w:lang w:val="tr-TR"/>
        </w:rPr>
        <w:t>u</w:t>
      </w:r>
      <w:r>
        <w:rPr>
          <w:rFonts w:ascii="Times New Roman" w:hAnsi="Times New Roman" w:cs="Times New Roman"/>
          <w:sz w:val="24"/>
          <w:szCs w:val="24"/>
          <w:lang w:val="tr-TR"/>
        </w:rPr>
        <w:t>, Magmatik Kaya</w:t>
      </w:r>
      <w:r>
        <w:rPr>
          <w:rFonts w:ascii="Times New Roman" w:hAnsi="Times New Roman" w:cs="Times New Roman"/>
          <w:sz w:val="24"/>
          <w:szCs w:val="24"/>
          <w:lang w:val="tr-TR"/>
        </w:rPr>
        <w:t xml:space="preserve">, Nadir Toprak Elementler, Gama </w:t>
      </w:r>
      <w:r>
        <w:rPr>
          <w:rFonts w:ascii="Times New Roman" w:hAnsi="Times New Roman" w:cs="Times New Roman"/>
          <w:sz w:val="24"/>
          <w:szCs w:val="24"/>
          <w:lang w:val="tr-TR"/>
        </w:rPr>
        <w:t xml:space="preserve">Spektrometresi </w:t>
      </w:r>
    </w:p>
    <w:p w14:paraId="25EBAA85" w14:textId="77777777" w:rsidR="00704BFA" w:rsidRDefault="00704BFA">
      <w:pPr>
        <w:spacing w:before="120" w:after="120" w:line="276" w:lineRule="auto"/>
        <w:jc w:val="both"/>
        <w:rPr>
          <w:rFonts w:ascii="Garamond" w:hAnsi="Garamond"/>
          <w:b/>
          <w:sz w:val="24"/>
          <w:szCs w:val="24"/>
          <w:lang w:val="tr-TR"/>
        </w:rPr>
      </w:pPr>
    </w:p>
    <w:p w14:paraId="5CF96EA8" w14:textId="77777777" w:rsidR="00704BFA" w:rsidRDefault="00704BFA">
      <w:pPr>
        <w:spacing w:line="276" w:lineRule="auto"/>
        <w:rPr>
          <w:rFonts w:ascii="Times New Roman" w:hAnsi="Times New Roman" w:cs="Times New Roman"/>
          <w:sz w:val="24"/>
          <w:szCs w:val="24"/>
          <w:lang w:val="tr-TR"/>
        </w:rPr>
      </w:pPr>
    </w:p>
    <w:p w14:paraId="681701AA" w14:textId="77777777" w:rsidR="00704BFA" w:rsidRDefault="00704BFA">
      <w:pPr>
        <w:spacing w:before="120" w:after="120" w:line="276" w:lineRule="auto"/>
        <w:jc w:val="both"/>
        <w:rPr>
          <w:rFonts w:ascii="Garamond" w:hAnsi="Garamond"/>
          <w:b/>
          <w:sz w:val="24"/>
          <w:szCs w:val="24"/>
          <w:lang w:val="tr-TR"/>
        </w:rPr>
      </w:pPr>
    </w:p>
    <w:sectPr w:rsidR="00704BFA">
      <w:headerReference w:type="default" r:id="rId12"/>
      <w:footerReference w:type="default" r:id="rId13"/>
      <w:headerReference w:type="first" r:id="rId14"/>
      <w:footerReference w:type="first" r:id="rId15"/>
      <w:pgSz w:w="12240" w:h="15840"/>
      <w:pgMar w:top="1440" w:right="1440" w:bottom="1440" w:left="1440" w:header="708" w:footer="737"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7F080" w14:textId="77777777" w:rsidR="00E605DF" w:rsidRDefault="00E605DF">
      <w:pPr>
        <w:spacing w:after="0" w:line="240" w:lineRule="auto"/>
      </w:pPr>
      <w:r>
        <w:separator/>
      </w:r>
    </w:p>
  </w:endnote>
  <w:endnote w:type="continuationSeparator" w:id="0">
    <w:p w14:paraId="663ABC20" w14:textId="77777777" w:rsidR="00E605DF" w:rsidRDefault="00E6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66CB" w14:textId="77777777" w:rsidR="00704BFA" w:rsidRDefault="00E605DF">
    <w:pPr>
      <w:pStyle w:val="Footer"/>
      <w:ind w:right="-138"/>
      <w:jc w:val="right"/>
      <w:rPr>
        <w:rFonts w:ascii="Garamond" w:hAnsi="Garamond"/>
        <w:sz w:val="20"/>
      </w:rPr>
    </w:pPr>
    <w:r>
      <w:rPr>
        <w:noProof/>
      </w:rPr>
      <mc:AlternateContent>
        <mc:Choice Requires="wps">
          <w:drawing>
            <wp:anchor distT="0" distB="0" distL="0" distR="0" simplePos="0" relativeHeight="10" behindDoc="1" locked="0" layoutInCell="0" allowOverlap="1" wp14:anchorId="3CEA0E90" wp14:editId="7A3D86D9">
              <wp:simplePos x="0" y="0"/>
              <wp:positionH relativeFrom="page">
                <wp:align>right</wp:align>
              </wp:positionH>
              <wp:positionV relativeFrom="paragraph">
                <wp:posOffset>7620</wp:posOffset>
              </wp:positionV>
              <wp:extent cx="693420" cy="121920"/>
              <wp:effectExtent l="0" t="0" r="0" b="0"/>
              <wp:wrapNone/>
              <wp:docPr id="7" name="Dikdörtgen 11"/>
              <wp:cNvGraphicFramePr/>
              <a:graphic xmlns:a="http://schemas.openxmlformats.org/drawingml/2006/main">
                <a:graphicData uri="http://schemas.microsoft.com/office/word/2010/wordprocessingShape">
                  <wps:wsp>
                    <wps:cNvSpPr/>
                    <wps:spPr>
                      <a:xfrm>
                        <a:off x="0" y="0"/>
                        <a:ext cx="693360" cy="12204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Dikdörtgen 11" path="m0,0l-2147483645,0l-2147483645,-2147483646l0,-2147483646xe" fillcolor="#c00000" stroked="f" o:allowincell="f" style="position:absolute;margin-left:557.35pt;margin-top:0.6pt;width:54.55pt;height:9.55pt;mso-wrap-style:none;v-text-anchor:middle;mso-position-horizontal:right;mso-position-horizontal-relative:page" wp14:anchorId="672061D7">
              <v:fill o:detectmouseclick="t" type="solid" color2="#3fffff"/>
              <v:stroke color="#3465a4" weight="12600" joinstyle="miter" endcap="flat"/>
              <w10:wrap type="none"/>
            </v:rect>
          </w:pict>
        </mc:Fallback>
      </mc:AlternateContent>
    </w:r>
    <w:r>
      <w:t xml:space="preserve"> </w:t>
    </w:r>
    <w:r>
      <w:rPr>
        <w:rFonts w:ascii="Garamond" w:hAnsi="Garamond"/>
        <w:sz w:val="20"/>
      </w:rPr>
      <w:t xml:space="preserve">International Congress on Multidisciplinary Natural Sciences (ICOMNAS-2021), Dec 01-02 2021 </w:t>
    </w:r>
  </w:p>
  <w:p w14:paraId="599C3790" w14:textId="77777777" w:rsidR="00704BFA" w:rsidRDefault="00E605DF">
    <w:pPr>
      <w:pStyle w:val="Footer"/>
      <w:ind w:right="-138"/>
      <w:jc w:val="right"/>
      <w:rPr>
        <w:sz w:val="16"/>
      </w:rPr>
    </w:pPr>
    <w:r>
      <w:rPr>
        <w:rFonts w:ascii="Garamond" w:hAnsi="Garamond"/>
        <w:sz w:val="20"/>
      </w:rPr>
      <w:t xml:space="preserve">Ankara / TURKEY | </w:t>
    </w:r>
    <w:r>
      <w:rPr>
        <w:rFonts w:ascii="Garamond" w:hAnsi="Garamond"/>
        <w:sz w:val="20"/>
      </w:rPr>
      <w:fldChar w:fldCharType="begin"/>
    </w:r>
    <w:r>
      <w:rPr>
        <w:rFonts w:ascii="Garamond" w:hAnsi="Garamond"/>
        <w:sz w:val="20"/>
      </w:rPr>
      <w:instrText xml:space="preserve"> PAGE </w:instrText>
    </w:r>
    <w:r>
      <w:rPr>
        <w:rFonts w:ascii="Garamond" w:hAnsi="Garamond"/>
        <w:sz w:val="20"/>
      </w:rPr>
      <w:fldChar w:fldCharType="separate"/>
    </w:r>
    <w:r>
      <w:rPr>
        <w:rFonts w:ascii="Garamond" w:hAnsi="Garamond"/>
        <w:sz w:val="20"/>
      </w:rPr>
      <w:t>2</w:t>
    </w:r>
    <w:r>
      <w:rPr>
        <w:rFonts w:ascii="Garamond" w:hAnsi="Garamond"/>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97B1E" w14:textId="77777777" w:rsidR="00704BFA" w:rsidRDefault="00E605DF">
    <w:pPr>
      <w:pStyle w:val="Footer"/>
      <w:ind w:right="-138"/>
      <w:jc w:val="right"/>
      <w:rPr>
        <w:rFonts w:ascii="Garamond" w:hAnsi="Garamond"/>
        <w:sz w:val="20"/>
      </w:rPr>
    </w:pPr>
    <w:r>
      <w:rPr>
        <w:noProof/>
      </w:rPr>
      <mc:AlternateContent>
        <mc:Choice Requires="wps">
          <w:drawing>
            <wp:anchor distT="0" distB="0" distL="0" distR="0" simplePos="0" relativeHeight="11" behindDoc="1" locked="0" layoutInCell="0" allowOverlap="1" wp14:anchorId="23D7FA39" wp14:editId="2FA73439">
              <wp:simplePos x="0" y="0"/>
              <wp:positionH relativeFrom="page">
                <wp:align>right</wp:align>
              </wp:positionH>
              <wp:positionV relativeFrom="paragraph">
                <wp:posOffset>7620</wp:posOffset>
              </wp:positionV>
              <wp:extent cx="693420" cy="121920"/>
              <wp:effectExtent l="0" t="0" r="0" b="0"/>
              <wp:wrapNone/>
              <wp:docPr id="8" name="Dikdörtgen 4"/>
              <wp:cNvGraphicFramePr/>
              <a:graphic xmlns:a="http://schemas.openxmlformats.org/drawingml/2006/main">
                <a:graphicData uri="http://schemas.microsoft.com/office/word/2010/wordprocessingShape">
                  <wps:wsp>
                    <wps:cNvSpPr/>
                    <wps:spPr>
                      <a:xfrm>
                        <a:off x="0" y="0"/>
                        <a:ext cx="693360" cy="12204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Dikdörtgen 4" path="m0,0l-2147483645,0l-2147483645,-2147483646l0,-2147483646xe" fillcolor="#c00000" stroked="f" o:allowincell="f" style="position:absolute;margin-left:557.35pt;margin-top:0.6pt;width:54.55pt;height:9.55pt;mso-wrap-style:none;v-text-anchor:middle;mso-position-horizontal:right;mso-position-horizontal-relative:page" wp14:anchorId="617D8119">
              <v:fill o:detectmouseclick="t" type="solid" color2="#3fffff"/>
              <v:stroke color="#3465a4" weight="12600" joinstyle="miter" endcap="flat"/>
              <w10:wrap type="none"/>
            </v:rect>
          </w:pict>
        </mc:Fallback>
      </mc:AlternateContent>
    </w:r>
    <w:r>
      <w:rPr>
        <w:rFonts w:ascii="Garamond" w:hAnsi="Garamond"/>
        <w:sz w:val="20"/>
      </w:rPr>
      <w:t>4</w:t>
    </w:r>
    <w:r>
      <w:rPr>
        <w:rFonts w:ascii="Garamond" w:hAnsi="Garamond"/>
        <w:sz w:val="20"/>
        <w:vertAlign w:val="superscript"/>
      </w:rPr>
      <w:t>th</w:t>
    </w:r>
    <w:r>
      <w:rPr>
        <w:rFonts w:ascii="Garamond" w:hAnsi="Garamond"/>
        <w:sz w:val="20"/>
      </w:rPr>
      <w:t xml:space="preserve">International Congress of Engineering and Natural Sciences (ICENSS 2024), May 24-25 2023 </w:t>
    </w:r>
  </w:p>
  <w:p w14:paraId="1724ED11" w14:textId="77777777" w:rsidR="00704BFA" w:rsidRDefault="00E605DF">
    <w:pPr>
      <w:pStyle w:val="Footer"/>
      <w:ind w:right="-138"/>
      <w:jc w:val="right"/>
      <w:rPr>
        <w:sz w:val="16"/>
      </w:rPr>
    </w:pPr>
    <w:r>
      <w:rPr>
        <w:rFonts w:ascii="Garamond" w:hAnsi="Garamond"/>
        <w:sz w:val="20"/>
      </w:rPr>
      <w:t xml:space="preserve">Ankara / TURKEY | </w:t>
    </w:r>
    <w:r>
      <w:rPr>
        <w:rFonts w:ascii="Garamond" w:hAnsi="Garamond"/>
        <w:sz w:val="20"/>
      </w:rPr>
      <w:fldChar w:fldCharType="begin"/>
    </w:r>
    <w:r>
      <w:rPr>
        <w:rFonts w:ascii="Garamond" w:hAnsi="Garamond"/>
        <w:sz w:val="20"/>
      </w:rPr>
      <w:instrText xml:space="preserve"> PAGE </w:instrText>
    </w:r>
    <w:r>
      <w:rPr>
        <w:rFonts w:ascii="Garamond" w:hAnsi="Garamond"/>
        <w:sz w:val="20"/>
      </w:rPr>
      <w:fldChar w:fldCharType="separate"/>
    </w:r>
    <w:r>
      <w:rPr>
        <w:rFonts w:ascii="Garamond" w:hAnsi="Garamond"/>
        <w:sz w:val="20"/>
      </w:rPr>
      <w:t>1</w:t>
    </w:r>
    <w:r>
      <w:rPr>
        <w:rFonts w:ascii="Garamond" w:hAnsi="Garamond"/>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40B95" w14:textId="77777777" w:rsidR="00704BFA" w:rsidRDefault="00E605DF">
    <w:pPr>
      <w:pStyle w:val="Footer"/>
      <w:ind w:right="-138"/>
      <w:jc w:val="right"/>
      <w:rPr>
        <w:rFonts w:ascii="Garamond" w:hAnsi="Garamond"/>
        <w:sz w:val="20"/>
      </w:rPr>
    </w:pPr>
    <w:r>
      <w:rPr>
        <w:noProof/>
      </w:rPr>
      <mc:AlternateContent>
        <mc:Choice Requires="wps">
          <w:drawing>
            <wp:anchor distT="0" distB="0" distL="0" distR="0" simplePos="0" relativeHeight="13" behindDoc="1" locked="0" layoutInCell="0" allowOverlap="1" wp14:anchorId="0634F60D" wp14:editId="38D0168E">
              <wp:simplePos x="0" y="0"/>
              <wp:positionH relativeFrom="page">
                <wp:align>right</wp:align>
              </wp:positionH>
              <wp:positionV relativeFrom="paragraph">
                <wp:posOffset>7620</wp:posOffset>
              </wp:positionV>
              <wp:extent cx="693420" cy="121920"/>
              <wp:effectExtent l="0" t="0" r="0" b="0"/>
              <wp:wrapNone/>
              <wp:docPr id="14" name="Dikdörtgen 2"/>
              <wp:cNvGraphicFramePr/>
              <a:graphic xmlns:a="http://schemas.openxmlformats.org/drawingml/2006/main">
                <a:graphicData uri="http://schemas.microsoft.com/office/word/2010/wordprocessingShape">
                  <wps:wsp>
                    <wps:cNvSpPr/>
                    <wps:spPr>
                      <a:xfrm>
                        <a:off x="0" y="0"/>
                        <a:ext cx="693360" cy="12204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Dikdörtgen 2" path="m0,0l-2147483645,0l-2147483645,-2147483646l0,-2147483646xe" fillcolor="#c00000" stroked="f" o:allowincell="f" style="position:absolute;margin-left:557.35pt;margin-top:0.6pt;width:54.55pt;height:9.55pt;mso-wrap-style:none;v-text-anchor:middle;mso-position-horizontal:right;mso-position-horizontal-relative:page" wp14:anchorId="672061D7">
              <v:fill o:detectmouseclick="t" type="solid" color2="#3fffff"/>
              <v:stroke color="#3465a4" weight="12600" joinstyle="miter" endcap="flat"/>
              <w10:wrap type="none"/>
            </v:rect>
          </w:pict>
        </mc:Fallback>
      </mc:AlternateContent>
    </w:r>
    <w:r>
      <w:t xml:space="preserve"> </w:t>
    </w:r>
    <w:r>
      <w:rPr>
        <w:rFonts w:ascii="Garamond" w:hAnsi="Garamond"/>
        <w:sz w:val="20"/>
      </w:rPr>
      <w:t xml:space="preserve">International Congress on Multidisciplinary Natural Sciences (ICOMNAS-2021), Dec 01-02 2021 </w:t>
    </w:r>
  </w:p>
  <w:p w14:paraId="7BDD2A0B" w14:textId="77777777" w:rsidR="00704BFA" w:rsidRDefault="00E605DF">
    <w:pPr>
      <w:pStyle w:val="Footer"/>
      <w:ind w:right="-138"/>
      <w:jc w:val="right"/>
      <w:rPr>
        <w:sz w:val="16"/>
      </w:rPr>
    </w:pPr>
    <w:r>
      <w:rPr>
        <w:rFonts w:ascii="Garamond" w:hAnsi="Garamond"/>
        <w:sz w:val="20"/>
      </w:rPr>
      <w:t xml:space="preserve">Ankara / TURKEY | </w:t>
    </w:r>
    <w:r>
      <w:rPr>
        <w:rFonts w:ascii="Garamond" w:hAnsi="Garamond"/>
        <w:sz w:val="20"/>
      </w:rPr>
      <w:fldChar w:fldCharType="begin"/>
    </w:r>
    <w:r>
      <w:rPr>
        <w:rFonts w:ascii="Garamond" w:hAnsi="Garamond"/>
        <w:sz w:val="20"/>
      </w:rPr>
      <w:instrText xml:space="preserve"> PAGE </w:instrText>
    </w:r>
    <w:r>
      <w:rPr>
        <w:rFonts w:ascii="Garamond" w:hAnsi="Garamond"/>
        <w:sz w:val="20"/>
      </w:rPr>
      <w:fldChar w:fldCharType="separate"/>
    </w:r>
    <w:r>
      <w:rPr>
        <w:rFonts w:ascii="Garamond" w:hAnsi="Garamond"/>
        <w:sz w:val="20"/>
      </w:rPr>
      <w:t>4</w:t>
    </w:r>
    <w:r>
      <w:rPr>
        <w:rFonts w:ascii="Garamond" w:hAnsi="Garamond"/>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71336" w14:textId="77777777" w:rsidR="00704BFA" w:rsidRDefault="00E605DF">
    <w:pPr>
      <w:pStyle w:val="Footer"/>
      <w:ind w:right="-138"/>
      <w:jc w:val="right"/>
      <w:rPr>
        <w:rFonts w:ascii="Garamond" w:hAnsi="Garamond"/>
        <w:sz w:val="20"/>
      </w:rPr>
    </w:pPr>
    <w:r>
      <w:rPr>
        <w:noProof/>
      </w:rPr>
      <mc:AlternateContent>
        <mc:Choice Requires="wps">
          <w:drawing>
            <wp:anchor distT="0" distB="0" distL="0" distR="0" simplePos="0" relativeHeight="16" behindDoc="1" locked="0" layoutInCell="0" allowOverlap="1" wp14:anchorId="508D544C" wp14:editId="58E7C724">
              <wp:simplePos x="0" y="0"/>
              <wp:positionH relativeFrom="page">
                <wp:align>right</wp:align>
              </wp:positionH>
              <wp:positionV relativeFrom="paragraph">
                <wp:posOffset>7620</wp:posOffset>
              </wp:positionV>
              <wp:extent cx="693420" cy="121920"/>
              <wp:effectExtent l="0" t="0" r="0" b="0"/>
              <wp:wrapNone/>
              <wp:docPr id="15" name="Dikdörtgen 3"/>
              <wp:cNvGraphicFramePr/>
              <a:graphic xmlns:a="http://schemas.openxmlformats.org/drawingml/2006/main">
                <a:graphicData uri="http://schemas.microsoft.com/office/word/2010/wordprocessingShape">
                  <wps:wsp>
                    <wps:cNvSpPr/>
                    <wps:spPr>
                      <a:xfrm>
                        <a:off x="0" y="0"/>
                        <a:ext cx="693360" cy="12204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Dikdörtgen 3" path="m0,0l-2147483645,0l-2147483645,-2147483646l0,-2147483646xe" fillcolor="#c00000" stroked="f" o:allowincell="f" style="position:absolute;margin-left:557.35pt;margin-top:0.6pt;width:54.55pt;height:9.55pt;mso-wrap-style:none;v-text-anchor:middle;mso-position-horizontal:right;mso-position-horizontal-relative:page" wp14:anchorId="617D8119">
              <v:fill o:detectmouseclick="t" type="solid" color2="#3fffff"/>
              <v:stroke color="#3465a4" weight="12600" joinstyle="miter" endcap="flat"/>
              <w10:wrap type="none"/>
            </v:rect>
          </w:pict>
        </mc:Fallback>
      </mc:AlternateContent>
    </w:r>
    <w:r>
      <w:rPr>
        <w:rFonts w:ascii="Garamond" w:hAnsi="Garamond"/>
        <w:sz w:val="20"/>
      </w:rPr>
      <w:t>4</w:t>
    </w:r>
    <w:r>
      <w:rPr>
        <w:rFonts w:ascii="Garamond" w:hAnsi="Garamond"/>
        <w:sz w:val="20"/>
        <w:vertAlign w:val="superscript"/>
      </w:rPr>
      <w:t>th</w:t>
    </w:r>
    <w:r>
      <w:rPr>
        <w:rFonts w:ascii="Garamond" w:hAnsi="Garamond"/>
        <w:sz w:val="20"/>
      </w:rPr>
      <w:t xml:space="preserve">International Congress of Engineering and Natural Sciences (ICENSS 2024), May 24-25 2023 </w:t>
    </w:r>
  </w:p>
  <w:p w14:paraId="7CF8E830" w14:textId="77777777" w:rsidR="00704BFA" w:rsidRDefault="00E605DF">
    <w:pPr>
      <w:pStyle w:val="Footer"/>
      <w:ind w:right="-138"/>
      <w:jc w:val="right"/>
      <w:rPr>
        <w:sz w:val="16"/>
      </w:rPr>
    </w:pPr>
    <w:r>
      <w:rPr>
        <w:rFonts w:ascii="Garamond" w:hAnsi="Garamond"/>
        <w:sz w:val="20"/>
      </w:rPr>
      <w:t xml:space="preserve">Ankara / TURKEY | </w:t>
    </w:r>
    <w:r>
      <w:rPr>
        <w:rFonts w:ascii="Garamond" w:hAnsi="Garamond"/>
        <w:sz w:val="20"/>
      </w:rPr>
      <w:fldChar w:fldCharType="begin"/>
    </w:r>
    <w:r>
      <w:rPr>
        <w:rFonts w:ascii="Garamond" w:hAnsi="Garamond"/>
        <w:sz w:val="20"/>
      </w:rPr>
      <w:instrText xml:space="preserve"> PAGE </w:instrText>
    </w:r>
    <w:r>
      <w:rPr>
        <w:rFonts w:ascii="Garamond" w:hAnsi="Garamond"/>
        <w:sz w:val="20"/>
      </w:rPr>
      <w:fldChar w:fldCharType="separate"/>
    </w:r>
    <w:r>
      <w:rPr>
        <w:rFonts w:ascii="Garamond" w:hAnsi="Garamond"/>
        <w:sz w:val="20"/>
      </w:rPr>
      <w:t>3</w:t>
    </w:r>
    <w:r>
      <w:rPr>
        <w:rFonts w:ascii="Garamond" w:hAnsi="Garamond"/>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94006" w14:textId="77777777" w:rsidR="00E605DF" w:rsidRDefault="00E605DF">
      <w:pPr>
        <w:rPr>
          <w:sz w:val="12"/>
        </w:rPr>
      </w:pPr>
      <w:r>
        <w:separator/>
      </w:r>
    </w:p>
  </w:footnote>
  <w:footnote w:type="continuationSeparator" w:id="0">
    <w:p w14:paraId="472426E3" w14:textId="77777777" w:rsidR="00E605DF" w:rsidRDefault="00E605DF">
      <w:pPr>
        <w:rPr>
          <w:sz w:val="12"/>
        </w:rPr>
      </w:pPr>
      <w:r>
        <w:continuationSeparator/>
      </w:r>
    </w:p>
  </w:footnote>
  <w:footnote w:id="1">
    <w:p w14:paraId="4ECFA09F" w14:textId="77777777" w:rsidR="00704BFA" w:rsidRDefault="00E605DF">
      <w:pPr>
        <w:pStyle w:val="FootnoteText"/>
        <w:rPr>
          <w:rFonts w:ascii="Times New Roman" w:hAnsi="Times New Roman" w:cs="Times New Roman"/>
          <w:sz w:val="16"/>
          <w:szCs w:val="16"/>
          <w:lang w:val="tr-TR"/>
        </w:rPr>
      </w:pPr>
      <w:r>
        <w:rPr>
          <w:rStyle w:val="FootnoteCharacters"/>
        </w:rPr>
        <w:footnoteRef/>
      </w:r>
      <w:r>
        <w:rPr>
          <w:rFonts w:ascii="Times New Roman" w:hAnsi="Times New Roman" w:cs="Times New Roman"/>
          <w:color w:val="000000" w:themeColor="text1"/>
          <w:sz w:val="16"/>
          <w:szCs w:val="16"/>
          <w:lang w:val="tr-TR"/>
        </w:rPr>
        <w:t xml:space="preserve"> </w:t>
      </w:r>
      <w:r>
        <w:rPr>
          <w:rFonts w:ascii="Times New Roman" w:hAnsi="Times New Roman" w:cs="Times New Roman"/>
          <w:color w:val="000000" w:themeColor="text1"/>
          <w:sz w:val="16"/>
          <w:szCs w:val="16"/>
          <w:lang w:val="tr-TR"/>
        </w:rPr>
        <w:t xml:space="preserve">Dr., İstanbul Technical University, Department of Geological Engineering, Orcıd: </w:t>
      </w:r>
      <w:r>
        <w:rPr>
          <w:rFonts w:ascii="Times New Roman" w:hAnsi="Times New Roman" w:cs="Times New Roman"/>
          <w:color w:val="FF0000"/>
          <w:sz w:val="16"/>
          <w:szCs w:val="16"/>
        </w:rPr>
        <w:t xml:space="preserve"> </w:t>
      </w:r>
      <w:r>
        <w:rPr>
          <w:rFonts w:ascii="Times New Roman" w:hAnsi="Times New Roman" w:cs="Times New Roman"/>
          <w:sz w:val="16"/>
          <w:szCs w:val="16"/>
        </w:rPr>
        <w:t>0000-0003-1835-0036</w:t>
      </w:r>
    </w:p>
  </w:footnote>
  <w:footnote w:id="2">
    <w:p w14:paraId="0E51C6DC" w14:textId="77777777" w:rsidR="00704BFA" w:rsidRDefault="00E605DF">
      <w:pPr>
        <w:pStyle w:val="FootnoteText"/>
        <w:rPr>
          <w:rFonts w:ascii="Times New Roman" w:hAnsi="Times New Roman" w:cs="Times New Roman"/>
          <w:sz w:val="16"/>
          <w:szCs w:val="16"/>
          <w:lang w:val="tr-TR"/>
        </w:rPr>
      </w:pPr>
      <w:r>
        <w:rPr>
          <w:rStyle w:val="FootnoteCharacters"/>
        </w:rPr>
        <w:footnoteRef/>
      </w:r>
      <w:r>
        <w:rPr>
          <w:rFonts w:ascii="Times New Roman" w:hAnsi="Times New Roman" w:cs="Times New Roman"/>
          <w:sz w:val="16"/>
          <w:szCs w:val="16"/>
        </w:rPr>
        <w:t xml:space="preserve"> </w:t>
      </w:r>
      <w:r>
        <w:rPr>
          <w:rFonts w:ascii="Times New Roman" w:hAnsi="Times New Roman" w:cs="Times New Roman"/>
          <w:color w:val="000000" w:themeColor="text1"/>
          <w:sz w:val="16"/>
          <w:szCs w:val="16"/>
          <w:lang w:val="tr-TR"/>
        </w:rPr>
        <w:t>Dr., Turkish Energy, Nuclear and Mineral Research Agency, Orcıd:</w:t>
      </w:r>
      <w:r>
        <w:t xml:space="preserve"> </w:t>
      </w:r>
      <w:r>
        <w:rPr>
          <w:rFonts w:ascii="Times New Roman" w:hAnsi="Times New Roman" w:cs="Times New Roman"/>
          <w:color w:val="000000" w:themeColor="text1"/>
          <w:sz w:val="16"/>
          <w:szCs w:val="16"/>
          <w:lang w:val="tr-TR"/>
        </w:rPr>
        <w:t>0000-0003-2141-5355</w:t>
      </w:r>
    </w:p>
  </w:footnote>
  <w:footnote w:id="3">
    <w:p w14:paraId="7246AA41" w14:textId="77777777" w:rsidR="00704BFA" w:rsidRDefault="00E605DF">
      <w:pPr>
        <w:pStyle w:val="FootnoteText"/>
        <w:rPr>
          <w:rFonts w:ascii="Times New Roman" w:hAnsi="Times New Roman" w:cs="Times New Roman"/>
          <w:sz w:val="16"/>
          <w:szCs w:val="16"/>
          <w:lang w:val="tr-TR"/>
        </w:rPr>
      </w:pPr>
      <w:r>
        <w:rPr>
          <w:rStyle w:val="FootnoteCharacters"/>
        </w:rPr>
        <w:footnoteRef/>
      </w:r>
      <w:r>
        <w:rPr>
          <w:rFonts w:ascii="Times New Roman" w:hAnsi="Times New Roman" w:cs="Times New Roman"/>
          <w:color w:val="000000" w:themeColor="text1"/>
          <w:sz w:val="16"/>
          <w:szCs w:val="16"/>
          <w:lang w:val="tr-TR"/>
        </w:rPr>
        <w:t xml:space="preserve"> </w:t>
      </w:r>
      <w:r>
        <w:rPr>
          <w:rFonts w:ascii="Times New Roman" w:hAnsi="Times New Roman" w:cs="Times New Roman"/>
          <w:color w:val="000000" w:themeColor="text1"/>
          <w:sz w:val="16"/>
          <w:szCs w:val="16"/>
          <w:lang w:val="tr-TR"/>
        </w:rPr>
        <w:t>Dr., İstanbul Technical University, Department of Geological Engi</w:t>
      </w:r>
      <w:r>
        <w:rPr>
          <w:rFonts w:ascii="Times New Roman" w:hAnsi="Times New Roman" w:cs="Times New Roman"/>
          <w:color w:val="000000" w:themeColor="text1"/>
          <w:sz w:val="16"/>
          <w:szCs w:val="16"/>
          <w:lang w:val="tr-TR"/>
        </w:rPr>
        <w:t xml:space="preserve">neering, Orcıd: </w:t>
      </w:r>
      <w:r>
        <w:rPr>
          <w:rFonts w:ascii="Times New Roman" w:hAnsi="Times New Roman" w:cs="Times New Roman"/>
          <w:color w:val="FF0000"/>
          <w:sz w:val="16"/>
          <w:szCs w:val="16"/>
        </w:rPr>
        <w:t xml:space="preserve"> </w:t>
      </w:r>
      <w:r>
        <w:rPr>
          <w:rFonts w:ascii="Times New Roman" w:hAnsi="Times New Roman" w:cs="Times New Roman"/>
          <w:sz w:val="16"/>
          <w:szCs w:val="16"/>
        </w:rPr>
        <w:t>0000-0003-1835-0036</w:t>
      </w:r>
    </w:p>
  </w:footnote>
  <w:footnote w:id="4">
    <w:p w14:paraId="1BFE72A1" w14:textId="77777777" w:rsidR="00704BFA" w:rsidRDefault="00E605DF">
      <w:pPr>
        <w:pStyle w:val="FootnoteText"/>
        <w:rPr>
          <w:rFonts w:ascii="Times New Roman" w:hAnsi="Times New Roman" w:cs="Times New Roman"/>
          <w:sz w:val="16"/>
          <w:szCs w:val="16"/>
          <w:lang w:val="tr-TR"/>
        </w:rPr>
      </w:pPr>
      <w:r>
        <w:rPr>
          <w:rStyle w:val="FootnoteCharacters"/>
        </w:rPr>
        <w:footnoteRef/>
      </w:r>
      <w:r>
        <w:rPr>
          <w:rFonts w:ascii="Times New Roman" w:hAnsi="Times New Roman" w:cs="Times New Roman"/>
          <w:sz w:val="16"/>
          <w:szCs w:val="16"/>
        </w:rPr>
        <w:t xml:space="preserve"> </w:t>
      </w:r>
      <w:r>
        <w:rPr>
          <w:rFonts w:ascii="Times New Roman" w:hAnsi="Times New Roman" w:cs="Times New Roman"/>
          <w:color w:val="000000" w:themeColor="text1"/>
          <w:sz w:val="16"/>
          <w:szCs w:val="16"/>
          <w:lang w:val="tr-TR"/>
        </w:rPr>
        <w:t>Dr., Turkish Energy, Nuclear and Mineral Research Agency, Orcıd:</w:t>
      </w:r>
      <w:r>
        <w:t xml:space="preserve"> </w:t>
      </w:r>
      <w:r>
        <w:rPr>
          <w:rFonts w:ascii="Times New Roman" w:hAnsi="Times New Roman" w:cs="Times New Roman"/>
          <w:color w:val="000000" w:themeColor="text1"/>
          <w:sz w:val="16"/>
          <w:szCs w:val="16"/>
          <w:lang w:val="tr-TR"/>
        </w:rPr>
        <w:t>0000-0003-2141-5355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1D894" w14:textId="77777777" w:rsidR="00704BFA" w:rsidRDefault="00E605DF">
    <w:pPr>
      <w:pStyle w:val="Header"/>
    </w:pPr>
    <w:r>
      <w:rPr>
        <w:noProof/>
      </w:rPr>
      <mc:AlternateContent>
        <mc:Choice Requires="wps">
          <w:drawing>
            <wp:anchor distT="0" distB="0" distL="0" distR="0" simplePos="0" relativeHeight="3" behindDoc="1" locked="0" layoutInCell="0" allowOverlap="1" wp14:anchorId="3776F24E" wp14:editId="693A5EBE">
              <wp:simplePos x="0" y="0"/>
              <wp:positionH relativeFrom="margin">
                <wp:align>center</wp:align>
              </wp:positionH>
              <wp:positionV relativeFrom="margin">
                <wp:align>center</wp:align>
              </wp:positionV>
              <wp:extent cx="5943600" cy="6236970"/>
              <wp:effectExtent l="0" t="0" r="0" b="0"/>
              <wp:wrapNone/>
              <wp:docPr id="3" name="WordPictureWatermark38536438"/>
              <wp:cNvGraphicFramePr/>
              <a:graphic xmlns:a="http://schemas.openxmlformats.org/drawingml/2006/main">
                <a:graphicData uri="http://schemas.openxmlformats.org/drawingml/2006/picture">
                  <pic:pic xmlns:pic="http://schemas.openxmlformats.org/drawingml/2006/picture">
                    <pic:nvPicPr>
                      <pic:cNvPr id="0" name="WordPictureWatermark38536438"/>
                      <pic:cNvPicPr/>
                    </pic:nvPicPr>
                    <pic:blipFill>
                      <a:blip r:embed="rId1">
                        <a:lum bright="70000" contrast="-70000"/>
                      </a:blip>
                      <a:stretch/>
                    </pic:blipFill>
                    <pic:spPr>
                      <a:xfrm>
                        <a:off x="0" y="0"/>
                        <a:ext cx="5943600" cy="6237000"/>
                      </a:xfrm>
                      <a:prstGeom prst="rect">
                        <a:avLst/>
                      </a:prstGeom>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536438" o:spid="shape_0" stroked="f" o:allowincell="f" style="position:absolute;margin-left:0.05pt;margin-top:0pt;width:467.95pt;height:491.05pt;mso-wrap-style:none;v-text-anchor:middle;mso-position-horizontal:center;mso-position-horizontal-relative:margin;mso-position-vertical:center;mso-position-vertical-relative:margin" type="_x0000_t75">
              <v:imagedata r:id="rId2" o:detectmouseclick="t"/>
              <v:stroke color="#3465a4" joinstyle="round" endcap="flat"/>
              <w10:wrap type="non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2187" w14:textId="77777777" w:rsidR="00704BFA" w:rsidRDefault="00E605DF">
    <w:pPr>
      <w:pStyle w:val="Header"/>
      <w:rPr>
        <w:rFonts w:ascii="Garamond" w:hAnsi="Garamond" w:cs="Times New Roman"/>
      </w:rPr>
    </w:pPr>
    <w:r>
      <w:rPr>
        <w:rFonts w:ascii="Garamond" w:hAnsi="Garamond" w:cs="Times New Roman"/>
        <w:noProof/>
      </w:rPr>
      <mc:AlternateContent>
        <mc:Choice Requires="wps">
          <w:drawing>
            <wp:anchor distT="0" distB="0" distL="0" distR="0" simplePos="0" relativeHeight="4" behindDoc="1" locked="0" layoutInCell="0" allowOverlap="1" wp14:anchorId="7F519901" wp14:editId="7867B079">
              <wp:simplePos x="0" y="0"/>
              <wp:positionH relativeFrom="margin">
                <wp:align>center</wp:align>
              </wp:positionH>
              <wp:positionV relativeFrom="margin">
                <wp:align>center</wp:align>
              </wp:positionV>
              <wp:extent cx="5943600" cy="6236970"/>
              <wp:effectExtent l="0" t="0" r="0" b="0"/>
              <wp:wrapNone/>
              <wp:docPr id="4" name="WordPictureWatermark38536439"/>
              <wp:cNvGraphicFramePr/>
              <a:graphic xmlns:a="http://schemas.openxmlformats.org/drawingml/2006/main">
                <a:graphicData uri="http://schemas.openxmlformats.org/drawingml/2006/picture">
                  <pic:pic xmlns:pic="http://schemas.openxmlformats.org/drawingml/2006/picture">
                    <pic:nvPicPr>
                      <pic:cNvPr id="1" name="WordPictureWatermark38536439"/>
                      <pic:cNvPicPr/>
                    </pic:nvPicPr>
                    <pic:blipFill>
                      <a:blip r:embed="rId1">
                        <a:lum bright="70000" contrast="-70000"/>
                      </a:blip>
                      <a:stretch/>
                    </pic:blipFill>
                    <pic:spPr>
                      <a:xfrm>
                        <a:off x="0" y="0"/>
                        <a:ext cx="5943600" cy="6237000"/>
                      </a:xfrm>
                      <a:prstGeom prst="rect">
                        <a:avLst/>
                      </a:prstGeom>
                      <a:ln w="0">
                        <a:noFill/>
                      </a:ln>
                    </pic:spPr>
                  </pic:pic>
                </a:graphicData>
              </a:graphic>
            </wp:anchor>
          </w:drawing>
        </mc:Choice>
        <mc:Fallback>
          <w:pict>
            <v:shape id="WordPictureWatermark38536439" o:spid="shape_0" stroked="f" o:allowincell="f" style="position:absolute;margin-left:0pt;margin-top:78.45pt;width:467.95pt;height:491.05pt;mso-wrap-style:none;v-text-anchor:middle;mso-position-horizontal:center;mso-position-horizontal-relative:margin;mso-position-vertical:center;mso-position-vertical-relative:margin" type="_x0000_t75">
              <v:imagedata r:id="rId2" o:detectmouseclick="t"/>
              <v:stroke color="#3465a4" joinstyle="round" endcap="flat"/>
              <w10:wrap type="non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58" w:type="dxa"/>
      <w:tblLayout w:type="fixed"/>
      <w:tblLook w:val="04A0" w:firstRow="1" w:lastRow="0" w:firstColumn="1" w:lastColumn="0" w:noHBand="0" w:noVBand="1"/>
    </w:tblPr>
    <w:tblGrid>
      <w:gridCol w:w="1969"/>
      <w:gridCol w:w="7489"/>
    </w:tblGrid>
    <w:tr w:rsidR="00704BFA" w14:paraId="149E5821" w14:textId="77777777">
      <w:trPr>
        <w:trHeight w:val="660"/>
      </w:trPr>
      <w:tc>
        <w:tcPr>
          <w:tcW w:w="1969" w:type="dxa"/>
          <w:tcBorders>
            <w:top w:val="nil"/>
            <w:left w:val="nil"/>
            <w:bottom w:val="nil"/>
            <w:right w:val="nil"/>
          </w:tcBorders>
          <w:vAlign w:val="center"/>
        </w:tcPr>
        <w:p w14:paraId="4B53388A" w14:textId="77777777" w:rsidR="00704BFA" w:rsidRDefault="00E605DF">
          <w:pPr>
            <w:pStyle w:val="Heading1"/>
            <w:spacing w:before="0" w:line="240" w:lineRule="auto"/>
            <w:outlineLvl w:val="0"/>
            <w:rPr>
              <w:rFonts w:cs="Times New Roman"/>
              <w:b w:val="0"/>
              <w:color w:val="auto"/>
              <w:sz w:val="32"/>
            </w:rPr>
          </w:pPr>
          <w:r>
            <w:rPr>
              <w:noProof/>
              <w:lang w:val="tr-TR" w:eastAsia="tr-TR"/>
            </w:rPr>
            <w:drawing>
              <wp:inline distT="0" distB="0" distL="0" distR="0" wp14:anchorId="256B1930" wp14:editId="18B1FEB6">
                <wp:extent cx="863600" cy="906145"/>
                <wp:effectExtent l="0" t="0" r="0" b="0"/>
                <wp:docPr id="5"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2"/>
                        <pic:cNvPicPr>
                          <a:picLocks noChangeAspect="1" noChangeArrowheads="1"/>
                        </pic:cNvPicPr>
                      </pic:nvPicPr>
                      <pic:blipFill>
                        <a:blip r:embed="rId1"/>
                        <a:stretch>
                          <a:fillRect/>
                        </a:stretch>
                      </pic:blipFill>
                      <pic:spPr bwMode="auto">
                        <a:xfrm>
                          <a:off x="0" y="0"/>
                          <a:ext cx="863600" cy="906145"/>
                        </a:xfrm>
                        <a:prstGeom prst="rect">
                          <a:avLst/>
                        </a:prstGeom>
                      </pic:spPr>
                    </pic:pic>
                  </a:graphicData>
                </a:graphic>
              </wp:inline>
            </w:drawing>
          </w:r>
        </w:p>
      </w:tc>
      <w:tc>
        <w:tcPr>
          <w:tcW w:w="7488" w:type="dxa"/>
          <w:tcBorders>
            <w:top w:val="nil"/>
            <w:left w:val="nil"/>
            <w:bottom w:val="nil"/>
            <w:right w:val="nil"/>
          </w:tcBorders>
          <w:vAlign w:val="center"/>
        </w:tcPr>
        <w:p w14:paraId="52ACE1B2" w14:textId="77777777" w:rsidR="00704BFA" w:rsidRDefault="00E605DF">
          <w:pPr>
            <w:pStyle w:val="Heading1"/>
            <w:spacing w:before="0" w:line="240" w:lineRule="auto"/>
            <w:jc w:val="left"/>
            <w:outlineLvl w:val="0"/>
            <w:rPr>
              <w:rFonts w:cs="Times New Roman"/>
              <w:bCs w:val="0"/>
              <w:color w:val="auto"/>
              <w:sz w:val="48"/>
              <w:szCs w:val="36"/>
            </w:rPr>
          </w:pPr>
          <w:r>
            <w:rPr>
              <w:rFonts w:cs="Times New Roman"/>
              <w:bCs w:val="0"/>
              <w:color w:val="auto"/>
              <w:sz w:val="40"/>
              <w:szCs w:val="36"/>
              <w:lang w:val="tr-TR" w:eastAsia="tr-TR"/>
            </w:rPr>
            <w:t>4</w:t>
          </w:r>
          <w:r>
            <w:rPr>
              <w:rFonts w:cs="Times New Roman"/>
              <w:bCs w:val="0"/>
              <w:color w:val="auto"/>
              <w:sz w:val="40"/>
              <w:szCs w:val="36"/>
              <w:vertAlign w:val="superscript"/>
              <w:lang w:val="tr-TR" w:eastAsia="tr-TR"/>
            </w:rPr>
            <w:t>th</w:t>
          </w:r>
          <w:r>
            <w:rPr>
              <w:rFonts w:cs="Times New Roman"/>
              <w:bCs w:val="0"/>
              <w:color w:val="auto"/>
              <w:sz w:val="40"/>
              <w:szCs w:val="36"/>
              <w:lang w:val="tr-TR" w:eastAsia="tr-TR"/>
            </w:rPr>
            <w:t>International</w:t>
          </w:r>
        </w:p>
        <w:p w14:paraId="4D5B4227" w14:textId="77777777" w:rsidR="00704BFA" w:rsidRDefault="00E605DF">
          <w:pPr>
            <w:pStyle w:val="Heading1"/>
            <w:spacing w:before="0" w:line="240" w:lineRule="auto"/>
            <w:jc w:val="left"/>
            <w:outlineLvl w:val="0"/>
            <w:rPr>
              <w:rFonts w:cs="Times New Roman"/>
              <w:bCs w:val="0"/>
              <w:color w:val="auto"/>
              <w:sz w:val="48"/>
              <w:szCs w:val="48"/>
            </w:rPr>
          </w:pPr>
          <w:r>
            <w:rPr>
              <w:rFonts w:cs="Times New Roman"/>
              <w:bCs w:val="0"/>
              <w:color w:val="auto"/>
              <w:sz w:val="36"/>
              <w:szCs w:val="36"/>
              <w:lang w:val="tr-TR" w:eastAsia="tr-TR"/>
            </w:rPr>
            <w:t xml:space="preserve">Congress of Engineering and Natural </w:t>
          </w:r>
          <w:r>
            <w:rPr>
              <w:rFonts w:cs="Times New Roman"/>
              <w:bCs w:val="0"/>
              <w:color w:val="auto"/>
              <w:sz w:val="36"/>
              <w:szCs w:val="36"/>
              <w:lang w:val="tr-TR" w:eastAsia="tr-TR"/>
            </w:rPr>
            <w:t>Sciences</w:t>
          </w:r>
        </w:p>
        <w:p w14:paraId="4105BFDD" w14:textId="77777777" w:rsidR="00704BFA" w:rsidRDefault="00E605DF">
          <w:pPr>
            <w:spacing w:after="0" w:line="240" w:lineRule="auto"/>
            <w:jc w:val="right"/>
            <w:rPr>
              <w:b/>
            </w:rPr>
          </w:pPr>
          <w:r>
            <w:rPr>
              <w:rFonts w:ascii="Times New Roman" w:eastAsia="Times New Roman" w:hAnsi="Times New Roman" w:cs="Times New Roman"/>
              <w:b/>
              <w:sz w:val="20"/>
              <w:szCs w:val="20"/>
              <w:lang w:val="tr-TR" w:eastAsia="tr-TR"/>
            </w:rPr>
            <w:t>ISBN:NNNN-NNNN</w:t>
          </w:r>
        </w:p>
      </w:tc>
    </w:tr>
  </w:tbl>
  <w:p w14:paraId="19A7B179" w14:textId="77777777" w:rsidR="00704BFA" w:rsidRDefault="00E605DF">
    <w:pPr>
      <w:pStyle w:val="Header"/>
    </w:pPr>
    <w:r>
      <w:rPr>
        <w:noProof/>
      </w:rPr>
      <mc:AlternateContent>
        <mc:Choice Requires="wps">
          <w:drawing>
            <wp:anchor distT="0" distB="0" distL="0" distR="0" simplePos="0" relativeHeight="2" behindDoc="1" locked="0" layoutInCell="0" allowOverlap="1" wp14:anchorId="7F854F66" wp14:editId="3844009B">
              <wp:simplePos x="0" y="0"/>
              <wp:positionH relativeFrom="margin">
                <wp:align>center</wp:align>
              </wp:positionH>
              <wp:positionV relativeFrom="margin">
                <wp:align>center</wp:align>
              </wp:positionV>
              <wp:extent cx="5943600" cy="6236970"/>
              <wp:effectExtent l="0" t="0" r="0" b="0"/>
              <wp:wrapNone/>
              <wp:docPr id="6" name="WordPictureWatermark38536437"/>
              <wp:cNvGraphicFramePr/>
              <a:graphic xmlns:a="http://schemas.openxmlformats.org/drawingml/2006/main">
                <a:graphicData uri="http://schemas.openxmlformats.org/drawingml/2006/picture">
                  <pic:pic xmlns:pic="http://schemas.openxmlformats.org/drawingml/2006/picture">
                    <pic:nvPicPr>
                      <pic:cNvPr id="2" name="WordPictureWatermark38536437"/>
                      <pic:cNvPicPr/>
                    </pic:nvPicPr>
                    <pic:blipFill>
                      <a:blip r:embed="rId1">
                        <a:lum bright="70000" contrast="-70000"/>
                      </a:blip>
                      <a:stretch/>
                    </pic:blipFill>
                    <pic:spPr>
                      <a:xfrm>
                        <a:off x="0" y="0"/>
                        <a:ext cx="5943600" cy="6237000"/>
                      </a:xfrm>
                      <a:prstGeom prst="rect">
                        <a:avLst/>
                      </a:prstGeom>
                      <a:ln w="0">
                        <a:noFill/>
                      </a:ln>
                    </pic:spPr>
                  </pic:pic>
                </a:graphicData>
              </a:graphic>
            </wp:anchor>
          </w:drawing>
        </mc:Choice>
        <mc:Fallback>
          <w:pict>
            <v:shape id="WordPictureWatermark38536437" o:spid="shape_0" stroked="f" o:allowincell="f" style="position:absolute;margin-left:0pt;margin-top:54.35pt;width:467.95pt;height:491.05pt;mso-wrap-style:none;v-text-anchor:middle;mso-position-horizontal:center;mso-position-horizontal-relative:margin;mso-position-vertical:center;mso-position-vertical-relative:margin" type="_x0000_t75">
              <v:imagedata r:id="rId2" o:detectmouseclick="t"/>
              <v:stroke color="#3465a4" joinstyle="round" endcap="flat"/>
              <w10:wrap type="none"/>
            </v:shape>
          </w:pict>
        </mc:Fallback>
      </mc:AlternateContent>
    </w:r>
    <w:bookmarkStart w:id="0" w:name="_top"/>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5E830" w14:textId="77777777" w:rsidR="00704BFA" w:rsidRDefault="00E605DF">
    <w:pPr>
      <w:pStyle w:val="Header"/>
      <w:rPr>
        <w:rFonts w:ascii="Garamond" w:hAnsi="Garamond" w:cs="Times New Roman"/>
      </w:rPr>
    </w:pPr>
    <w:r>
      <w:rPr>
        <w:rFonts w:ascii="Garamond" w:hAnsi="Garamond" w:cs="Times New Roman"/>
        <w:noProof/>
      </w:rPr>
      <mc:AlternateContent>
        <mc:Choice Requires="wps">
          <w:drawing>
            <wp:anchor distT="0" distB="0" distL="0" distR="0" simplePos="0" relativeHeight="12" behindDoc="1" locked="0" layoutInCell="0" allowOverlap="1" wp14:anchorId="3C8B4E8A" wp14:editId="4750EA2F">
              <wp:simplePos x="0" y="0"/>
              <wp:positionH relativeFrom="margin">
                <wp:align>center</wp:align>
              </wp:positionH>
              <wp:positionV relativeFrom="margin">
                <wp:align>center</wp:align>
              </wp:positionV>
              <wp:extent cx="5943600" cy="6236970"/>
              <wp:effectExtent l="0" t="0" r="0" b="0"/>
              <wp:wrapNone/>
              <wp:docPr id="11" name="WordPictureWatermark 1"/>
              <wp:cNvGraphicFramePr/>
              <a:graphic xmlns:a="http://schemas.openxmlformats.org/drawingml/2006/main">
                <a:graphicData uri="http://schemas.openxmlformats.org/drawingml/2006/picture">
                  <pic:pic xmlns:pic="http://schemas.openxmlformats.org/drawingml/2006/picture">
                    <pic:nvPicPr>
                      <pic:cNvPr id="3" name="WordPictureWatermark 1"/>
                      <pic:cNvPicPr/>
                    </pic:nvPicPr>
                    <pic:blipFill>
                      <a:blip r:embed="rId1">
                        <a:lum bright="70000" contrast="-70000"/>
                      </a:blip>
                      <a:stretch/>
                    </pic:blipFill>
                    <pic:spPr>
                      <a:xfrm>
                        <a:off x="0" y="0"/>
                        <a:ext cx="5943600" cy="6237000"/>
                      </a:xfrm>
                      <a:prstGeom prst="rect">
                        <a:avLst/>
                      </a:prstGeom>
                      <a:ln w="0">
                        <a:noFill/>
                      </a:ln>
                    </pic:spPr>
                  </pic:pic>
                </a:graphicData>
              </a:graphic>
            </wp:anchor>
          </w:drawing>
        </mc:Choice>
        <mc:Fallback>
          <w:pict>
            <v:shape id="WordPictureWatermark 1" o:spid="shape_0" stroked="f" o:allowincell="f" style="position:absolute;margin-left:0pt;margin-top:78.45pt;width:467.95pt;height:491.05pt;mso-wrap-style:none;v-text-anchor:middle;mso-position-horizontal:center;mso-position-horizontal-relative:margin;mso-position-vertical:center;mso-position-vertical-relative:margin" type="_x0000_t75">
              <v:imagedata r:id="rId2" o:detectmouseclick="t"/>
              <v:stroke color="#3465a4" joinstyle="round" endcap="flat"/>
              <w10:wrap type="non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58" w:type="dxa"/>
      <w:tblLayout w:type="fixed"/>
      <w:tblLook w:val="04A0" w:firstRow="1" w:lastRow="0" w:firstColumn="1" w:lastColumn="0" w:noHBand="0" w:noVBand="1"/>
    </w:tblPr>
    <w:tblGrid>
      <w:gridCol w:w="1969"/>
      <w:gridCol w:w="7489"/>
    </w:tblGrid>
    <w:tr w:rsidR="00704BFA" w14:paraId="2DD837E8" w14:textId="77777777">
      <w:trPr>
        <w:trHeight w:val="660"/>
      </w:trPr>
      <w:tc>
        <w:tcPr>
          <w:tcW w:w="1969" w:type="dxa"/>
          <w:tcBorders>
            <w:top w:val="nil"/>
            <w:left w:val="nil"/>
            <w:bottom w:val="nil"/>
            <w:right w:val="nil"/>
          </w:tcBorders>
          <w:vAlign w:val="center"/>
        </w:tcPr>
        <w:p w14:paraId="78FDD1EE" w14:textId="77777777" w:rsidR="00704BFA" w:rsidRDefault="00E605DF">
          <w:pPr>
            <w:pStyle w:val="Heading1"/>
            <w:spacing w:before="0" w:line="240" w:lineRule="auto"/>
            <w:outlineLvl w:val="0"/>
            <w:rPr>
              <w:rFonts w:cs="Times New Roman"/>
              <w:b w:val="0"/>
              <w:color w:val="auto"/>
              <w:sz w:val="32"/>
            </w:rPr>
          </w:pPr>
          <w:r>
            <w:rPr>
              <w:noProof/>
              <w:lang w:val="tr-TR" w:eastAsia="tr-TR"/>
            </w:rPr>
            <w:drawing>
              <wp:inline distT="0" distB="0" distL="0" distR="0" wp14:anchorId="21FE2A84" wp14:editId="2EB1D721">
                <wp:extent cx="863600" cy="9061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noChangeArrowheads="1"/>
                        </pic:cNvPicPr>
                      </pic:nvPicPr>
                      <pic:blipFill>
                        <a:blip r:embed="rId1"/>
                        <a:stretch>
                          <a:fillRect/>
                        </a:stretch>
                      </pic:blipFill>
                      <pic:spPr bwMode="auto">
                        <a:xfrm>
                          <a:off x="0" y="0"/>
                          <a:ext cx="863600" cy="906145"/>
                        </a:xfrm>
                        <a:prstGeom prst="rect">
                          <a:avLst/>
                        </a:prstGeom>
                      </pic:spPr>
                    </pic:pic>
                  </a:graphicData>
                </a:graphic>
              </wp:inline>
            </w:drawing>
          </w:r>
        </w:p>
      </w:tc>
      <w:tc>
        <w:tcPr>
          <w:tcW w:w="7488" w:type="dxa"/>
          <w:tcBorders>
            <w:top w:val="nil"/>
            <w:left w:val="nil"/>
            <w:bottom w:val="nil"/>
            <w:right w:val="nil"/>
          </w:tcBorders>
          <w:vAlign w:val="center"/>
        </w:tcPr>
        <w:p w14:paraId="3C6B847B" w14:textId="77777777" w:rsidR="00704BFA" w:rsidRDefault="00E605DF">
          <w:pPr>
            <w:pStyle w:val="Heading1"/>
            <w:spacing w:before="0" w:line="240" w:lineRule="auto"/>
            <w:jc w:val="left"/>
            <w:outlineLvl w:val="0"/>
            <w:rPr>
              <w:rFonts w:cs="Times New Roman"/>
              <w:bCs w:val="0"/>
              <w:color w:val="auto"/>
              <w:sz w:val="48"/>
              <w:szCs w:val="36"/>
            </w:rPr>
          </w:pPr>
          <w:r>
            <w:rPr>
              <w:rFonts w:cs="Times New Roman"/>
              <w:bCs w:val="0"/>
              <w:color w:val="auto"/>
              <w:sz w:val="40"/>
              <w:szCs w:val="36"/>
              <w:lang w:val="tr-TR" w:eastAsia="tr-TR"/>
            </w:rPr>
            <w:t>4</w:t>
          </w:r>
          <w:r>
            <w:rPr>
              <w:rFonts w:cs="Times New Roman"/>
              <w:bCs w:val="0"/>
              <w:color w:val="auto"/>
              <w:sz w:val="40"/>
              <w:szCs w:val="36"/>
              <w:vertAlign w:val="superscript"/>
              <w:lang w:val="tr-TR" w:eastAsia="tr-TR"/>
            </w:rPr>
            <w:t>th</w:t>
          </w:r>
          <w:r>
            <w:rPr>
              <w:rFonts w:cs="Times New Roman"/>
              <w:bCs w:val="0"/>
              <w:color w:val="auto"/>
              <w:sz w:val="40"/>
              <w:szCs w:val="36"/>
              <w:lang w:val="tr-TR" w:eastAsia="tr-TR"/>
            </w:rPr>
            <w:t>International</w:t>
          </w:r>
        </w:p>
        <w:p w14:paraId="03C6479E" w14:textId="77777777" w:rsidR="00704BFA" w:rsidRDefault="00E605DF">
          <w:pPr>
            <w:pStyle w:val="Heading1"/>
            <w:spacing w:before="0" w:line="240" w:lineRule="auto"/>
            <w:jc w:val="left"/>
            <w:outlineLvl w:val="0"/>
            <w:rPr>
              <w:rFonts w:cs="Times New Roman"/>
              <w:bCs w:val="0"/>
              <w:color w:val="auto"/>
              <w:sz w:val="48"/>
              <w:szCs w:val="48"/>
            </w:rPr>
          </w:pPr>
          <w:r>
            <w:rPr>
              <w:rFonts w:cs="Times New Roman"/>
              <w:bCs w:val="0"/>
              <w:color w:val="auto"/>
              <w:sz w:val="36"/>
              <w:szCs w:val="36"/>
              <w:lang w:val="tr-TR" w:eastAsia="tr-TR"/>
            </w:rPr>
            <w:t>Congress of Engineering and Natural Sciences</w:t>
          </w:r>
        </w:p>
        <w:p w14:paraId="68B61F36" w14:textId="77777777" w:rsidR="00704BFA" w:rsidRDefault="00E605DF">
          <w:pPr>
            <w:spacing w:after="0" w:line="240" w:lineRule="auto"/>
            <w:jc w:val="right"/>
            <w:rPr>
              <w:b/>
            </w:rPr>
          </w:pPr>
          <w:r>
            <w:rPr>
              <w:rFonts w:ascii="Times New Roman" w:eastAsia="Times New Roman" w:hAnsi="Times New Roman" w:cs="Times New Roman"/>
              <w:b/>
              <w:sz w:val="20"/>
              <w:szCs w:val="20"/>
              <w:lang w:val="tr-TR" w:eastAsia="tr-TR"/>
            </w:rPr>
            <w:t>ISBN:NNNN-NNNN</w:t>
          </w:r>
        </w:p>
      </w:tc>
    </w:tr>
  </w:tbl>
  <w:p w14:paraId="5AE5783A" w14:textId="77777777" w:rsidR="00704BFA" w:rsidRDefault="00E605DF">
    <w:pPr>
      <w:pStyle w:val="Header"/>
    </w:pPr>
    <w:r>
      <w:rPr>
        <w:noProof/>
      </w:rPr>
      <mc:AlternateContent>
        <mc:Choice Requires="wps">
          <w:drawing>
            <wp:anchor distT="0" distB="0" distL="0" distR="0" simplePos="0" relativeHeight="15" behindDoc="1" locked="0" layoutInCell="0" allowOverlap="1" wp14:anchorId="7796EA45" wp14:editId="73A65EBC">
              <wp:simplePos x="0" y="0"/>
              <wp:positionH relativeFrom="margin">
                <wp:align>center</wp:align>
              </wp:positionH>
              <wp:positionV relativeFrom="margin">
                <wp:align>center</wp:align>
              </wp:positionV>
              <wp:extent cx="5943600" cy="6236970"/>
              <wp:effectExtent l="0" t="0" r="0" b="0"/>
              <wp:wrapNone/>
              <wp:docPr id="13" name="WordPictureWatermark 2"/>
              <wp:cNvGraphicFramePr/>
              <a:graphic xmlns:a="http://schemas.openxmlformats.org/drawingml/2006/main">
                <a:graphicData uri="http://schemas.openxmlformats.org/drawingml/2006/picture">
                  <pic:pic xmlns:pic="http://schemas.openxmlformats.org/drawingml/2006/picture">
                    <pic:nvPicPr>
                      <pic:cNvPr id="4" name="WordPictureWatermark 2"/>
                      <pic:cNvPicPr/>
                    </pic:nvPicPr>
                    <pic:blipFill>
                      <a:blip r:embed="rId1">
                        <a:lum bright="70000" contrast="-70000"/>
                      </a:blip>
                      <a:stretch/>
                    </pic:blipFill>
                    <pic:spPr>
                      <a:xfrm>
                        <a:off x="0" y="0"/>
                        <a:ext cx="5943600" cy="6237000"/>
                      </a:xfrm>
                      <a:prstGeom prst="rect">
                        <a:avLst/>
                      </a:prstGeom>
                      <a:ln w="0">
                        <a:noFill/>
                      </a:ln>
                    </pic:spPr>
                  </pic:pic>
                </a:graphicData>
              </a:graphic>
            </wp:anchor>
          </w:drawing>
        </mc:Choice>
        <mc:Fallback>
          <w:pict>
            <v:shape id="WordPictureWatermark 2" o:spid="shape_0" stroked="f" o:allowincell="f" style="position:absolute;margin-left:0pt;margin-top:54.35pt;width:467.95pt;height:491.05pt;mso-wrap-style:none;v-text-anchor:middle;mso-position-horizontal:center;mso-position-horizontal-relative:margin;mso-position-vertical:center;mso-position-vertical-relative:margin" type="_x0000_t75">
              <v:imagedata r:id="rId2" o:detectmouseclick="t"/>
              <v:stroke color="#3465a4" joinstyle="round" endcap="flat"/>
              <w10:wrap type="none"/>
            </v:shape>
          </w:pict>
        </mc:Fallback>
      </mc:AlternateContent>
    </w:r>
    <w:bookmarkStart w:id="1" w:name="_top3"/>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BFA"/>
    <w:rsid w:val="00704BFA"/>
    <w:rsid w:val="009E3327"/>
    <w:rsid w:val="00BA5477"/>
    <w:rsid w:val="00E605DF"/>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C2F60"/>
  <w15:docId w15:val="{8659C75D-A93F-43A5-BF2B-5C9F6A3B9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326"/>
    <w:pPr>
      <w:spacing w:after="160" w:line="259" w:lineRule="auto"/>
    </w:pPr>
  </w:style>
  <w:style w:type="paragraph" w:styleId="Heading1">
    <w:name w:val="heading 1"/>
    <w:basedOn w:val="Normal"/>
    <w:next w:val="BodyText"/>
    <w:link w:val="Heading1Char"/>
    <w:qFormat/>
    <w:rsid w:val="00467473"/>
    <w:pPr>
      <w:keepNext/>
      <w:tabs>
        <w:tab w:val="right" w:pos="8640"/>
      </w:tabs>
      <w:spacing w:before="280" w:after="0" w:line="360" w:lineRule="auto"/>
      <w:jc w:val="center"/>
      <w:textAlignment w:val="baseline"/>
      <w:outlineLvl w:val="0"/>
    </w:pPr>
    <w:rPr>
      <w:rFonts w:ascii="Times New Roman" w:eastAsia="Times New Roman" w:hAnsi="Times New Roman" w:cs="Garamond"/>
      <w:b/>
      <w:bCs/>
      <w:color w:val="FFFFFF" w:themeColor="background1"/>
      <w:spacing w:val="-2"/>
      <w:sz w:val="28"/>
      <w:szCs w:val="24"/>
    </w:rPr>
  </w:style>
  <w:style w:type="paragraph" w:styleId="Heading2">
    <w:name w:val="heading 2"/>
    <w:basedOn w:val="Normal"/>
    <w:next w:val="Normal"/>
    <w:link w:val="Heading2Char"/>
    <w:uiPriority w:val="9"/>
    <w:unhideWhenUsed/>
    <w:qFormat/>
    <w:rsid w:val="00467473"/>
    <w:pPr>
      <w:keepNext/>
      <w:keepLines/>
      <w:spacing w:before="40" w:after="0" w:line="240" w:lineRule="auto"/>
      <w:jc w:val="center"/>
      <w:outlineLvl w:val="1"/>
    </w:pPr>
    <w:rPr>
      <w:rFonts w:ascii="Times New Roman" w:eastAsiaTheme="majorEastAsia" w:hAnsi="Times New Roman" w:cstheme="majorBidi"/>
      <w:i/>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467473"/>
    <w:rPr>
      <w:rFonts w:ascii="Times New Roman" w:eastAsia="Times New Roman" w:hAnsi="Times New Roman" w:cs="Garamond"/>
      <w:b/>
      <w:bCs/>
      <w:color w:val="FFFFFF" w:themeColor="background1"/>
      <w:spacing w:val="-2"/>
      <w:sz w:val="28"/>
      <w:szCs w:val="24"/>
    </w:rPr>
  </w:style>
  <w:style w:type="character" w:customStyle="1" w:styleId="BodyTextChar">
    <w:name w:val="Body Text Char"/>
    <w:basedOn w:val="DefaultParagraphFont"/>
    <w:link w:val="BodyText"/>
    <w:uiPriority w:val="99"/>
    <w:semiHidden/>
    <w:qFormat/>
    <w:rsid w:val="00131F50"/>
  </w:style>
  <w:style w:type="character" w:styleId="Hyperlink">
    <w:name w:val="Hyperlink"/>
    <w:rsid w:val="00131F50"/>
    <w:rPr>
      <w:color w:val="0000FF"/>
      <w:u w:val="single"/>
    </w:rPr>
  </w:style>
  <w:style w:type="character" w:customStyle="1" w:styleId="FootnoteTextChar">
    <w:name w:val="Footnote Text Char"/>
    <w:basedOn w:val="DefaultParagraphFont"/>
    <w:link w:val="FootnoteText"/>
    <w:uiPriority w:val="99"/>
    <w:semiHidden/>
    <w:qFormat/>
    <w:rsid w:val="00131F50"/>
    <w:rPr>
      <w:rFonts w:ascii="Garamond" w:eastAsia="Times New Roman" w:hAnsi="Garamond" w:cs="Garamond"/>
      <w:spacing w:val="-2"/>
      <w:sz w:val="20"/>
      <w:szCs w:val="20"/>
    </w:rPr>
  </w:style>
  <w:style w:type="character" w:customStyle="1" w:styleId="FootnoteCharacters">
    <w:name w:val="Footnote Characters"/>
    <w:uiPriority w:val="99"/>
    <w:semiHidden/>
    <w:qFormat/>
    <w:rsid w:val="00131F50"/>
    <w:rPr>
      <w:vertAlign w:val="superscript"/>
    </w:rPr>
  </w:style>
  <w:style w:type="character" w:customStyle="1" w:styleId="FootnoteAnchor">
    <w:name w:val="Footnote Anchor"/>
    <w:rPr>
      <w:vertAlign w:val="superscript"/>
    </w:rPr>
  </w:style>
  <w:style w:type="character" w:customStyle="1" w:styleId="TitleChar">
    <w:name w:val="Title Char"/>
    <w:basedOn w:val="DefaultParagraphFont"/>
    <w:link w:val="Title"/>
    <w:qFormat/>
    <w:rsid w:val="00131F50"/>
    <w:rPr>
      <w:rFonts w:ascii="Garamond" w:eastAsia="Times New Roman" w:hAnsi="Garamond" w:cs="Times New Roman"/>
      <w:b/>
      <w:bCs/>
      <w:sz w:val="24"/>
      <w:szCs w:val="24"/>
      <w:lang w:val="tr-TR" w:eastAsia="tr-TR"/>
    </w:rPr>
  </w:style>
  <w:style w:type="character" w:customStyle="1" w:styleId="SubtitleChar">
    <w:name w:val="Subtitle Char"/>
    <w:basedOn w:val="DefaultParagraphFont"/>
    <w:link w:val="Subtitle"/>
    <w:qFormat/>
    <w:rsid w:val="00131F50"/>
    <w:rPr>
      <w:rFonts w:ascii="Garamond" w:eastAsia="Times New Roman" w:hAnsi="Garamond" w:cs="Times New Roman"/>
      <w:b/>
      <w:bCs/>
      <w:sz w:val="24"/>
      <w:szCs w:val="24"/>
      <w:lang w:val="tr-TR" w:eastAsia="tr-TR"/>
    </w:rPr>
  </w:style>
  <w:style w:type="character" w:customStyle="1" w:styleId="HeaderChar">
    <w:name w:val="Header Char"/>
    <w:basedOn w:val="DefaultParagraphFont"/>
    <w:link w:val="Header"/>
    <w:uiPriority w:val="99"/>
    <w:qFormat/>
    <w:rsid w:val="00414AEB"/>
  </w:style>
  <w:style w:type="character" w:customStyle="1" w:styleId="FooterChar">
    <w:name w:val="Footer Char"/>
    <w:basedOn w:val="DefaultParagraphFont"/>
    <w:link w:val="Footer"/>
    <w:uiPriority w:val="99"/>
    <w:qFormat/>
    <w:rsid w:val="00414AEB"/>
  </w:style>
  <w:style w:type="character" w:customStyle="1" w:styleId="BalloonTextChar">
    <w:name w:val="Balloon Text Char"/>
    <w:basedOn w:val="DefaultParagraphFont"/>
    <w:link w:val="BalloonText"/>
    <w:uiPriority w:val="99"/>
    <w:semiHidden/>
    <w:qFormat/>
    <w:rsid w:val="006D6D30"/>
    <w:rPr>
      <w:rFonts w:ascii="Tahoma" w:hAnsi="Tahoma" w:cs="Tahoma"/>
      <w:sz w:val="16"/>
      <w:szCs w:val="16"/>
    </w:rPr>
  </w:style>
  <w:style w:type="character" w:customStyle="1" w:styleId="DocumentMapChar">
    <w:name w:val="Document Map Char"/>
    <w:basedOn w:val="DefaultParagraphFont"/>
    <w:link w:val="DocumentMap"/>
    <w:uiPriority w:val="99"/>
    <w:semiHidden/>
    <w:qFormat/>
    <w:rsid w:val="006D6D30"/>
    <w:rPr>
      <w:rFonts w:ascii="Tahoma" w:hAnsi="Tahoma" w:cs="Tahoma"/>
      <w:sz w:val="16"/>
      <w:szCs w:val="16"/>
    </w:rPr>
  </w:style>
  <w:style w:type="character" w:customStyle="1" w:styleId="Heading2Char">
    <w:name w:val="Heading 2 Char"/>
    <w:basedOn w:val="DefaultParagraphFont"/>
    <w:link w:val="Heading2"/>
    <w:uiPriority w:val="9"/>
    <w:qFormat/>
    <w:rsid w:val="00467473"/>
    <w:rPr>
      <w:rFonts w:ascii="Times New Roman" w:eastAsiaTheme="majorEastAsia" w:hAnsi="Times New Roman" w:cstheme="majorBidi"/>
      <w:i/>
      <w:color w:val="000000" w:themeColor="text1"/>
      <w:sz w:val="24"/>
      <w:szCs w:val="26"/>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uiPriority w:val="99"/>
    <w:semiHidden/>
    <w:unhideWhenUsed/>
    <w:rsid w:val="00131F50"/>
    <w:pPr>
      <w:spacing w:after="12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FootnoteText">
    <w:name w:val="footnote text"/>
    <w:basedOn w:val="Normal"/>
    <w:link w:val="FootnoteTextChar"/>
    <w:uiPriority w:val="99"/>
    <w:semiHidden/>
    <w:rsid w:val="00131F50"/>
    <w:pPr>
      <w:widowControl w:val="0"/>
      <w:tabs>
        <w:tab w:val="right" w:pos="8640"/>
      </w:tabs>
      <w:spacing w:after="0" w:line="240" w:lineRule="auto"/>
      <w:jc w:val="both"/>
      <w:textAlignment w:val="baseline"/>
    </w:pPr>
    <w:rPr>
      <w:rFonts w:ascii="Garamond" w:eastAsia="Times New Roman" w:hAnsi="Garamond" w:cs="Garamond"/>
      <w:spacing w:val="-2"/>
      <w:sz w:val="20"/>
      <w:szCs w:val="20"/>
    </w:rPr>
  </w:style>
  <w:style w:type="paragraph" w:styleId="Title">
    <w:name w:val="Title"/>
    <w:basedOn w:val="Normal"/>
    <w:link w:val="TitleChar"/>
    <w:qFormat/>
    <w:rsid w:val="00131F50"/>
    <w:pPr>
      <w:spacing w:after="0" w:line="240" w:lineRule="auto"/>
      <w:jc w:val="center"/>
    </w:pPr>
    <w:rPr>
      <w:rFonts w:ascii="Garamond" w:eastAsia="Times New Roman" w:hAnsi="Garamond" w:cs="Times New Roman"/>
      <w:b/>
      <w:bCs/>
      <w:sz w:val="24"/>
      <w:szCs w:val="24"/>
      <w:lang w:val="tr-TR" w:eastAsia="tr-TR"/>
    </w:rPr>
  </w:style>
  <w:style w:type="paragraph" w:styleId="Subtitle">
    <w:name w:val="Subtitle"/>
    <w:basedOn w:val="Normal"/>
    <w:link w:val="SubtitleChar"/>
    <w:qFormat/>
    <w:rsid w:val="00131F50"/>
    <w:pPr>
      <w:spacing w:after="0" w:line="240" w:lineRule="auto"/>
      <w:jc w:val="both"/>
    </w:pPr>
    <w:rPr>
      <w:rFonts w:ascii="Garamond" w:eastAsia="Times New Roman" w:hAnsi="Garamond" w:cs="Times New Roman"/>
      <w:b/>
      <w:bCs/>
      <w:sz w:val="24"/>
      <w:szCs w:val="24"/>
      <w:lang w:val="tr-TR" w:eastAsia="tr-TR"/>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14AEB"/>
    <w:pPr>
      <w:tabs>
        <w:tab w:val="center" w:pos="4680"/>
        <w:tab w:val="right" w:pos="9360"/>
      </w:tabs>
      <w:spacing w:after="0" w:line="240" w:lineRule="auto"/>
    </w:pPr>
  </w:style>
  <w:style w:type="paragraph" w:styleId="Footer">
    <w:name w:val="footer"/>
    <w:basedOn w:val="Normal"/>
    <w:link w:val="FooterChar"/>
    <w:uiPriority w:val="99"/>
    <w:unhideWhenUsed/>
    <w:rsid w:val="00414AEB"/>
    <w:pPr>
      <w:tabs>
        <w:tab w:val="center" w:pos="4680"/>
        <w:tab w:val="right" w:pos="9360"/>
      </w:tabs>
      <w:spacing w:after="0" w:line="240" w:lineRule="auto"/>
    </w:pPr>
  </w:style>
  <w:style w:type="paragraph" w:styleId="ListParagraph">
    <w:name w:val="List Paragraph"/>
    <w:basedOn w:val="Normal"/>
    <w:uiPriority w:val="34"/>
    <w:qFormat/>
    <w:rsid w:val="00627E66"/>
    <w:pPr>
      <w:tabs>
        <w:tab w:val="right" w:pos="8640"/>
      </w:tabs>
      <w:spacing w:after="0" w:line="240" w:lineRule="auto"/>
      <w:ind w:left="720"/>
      <w:contextualSpacing/>
      <w:jc w:val="both"/>
      <w:textAlignment w:val="baseline"/>
    </w:pPr>
    <w:rPr>
      <w:rFonts w:ascii="Garamond" w:eastAsia="Times New Roman" w:hAnsi="Garamond" w:cs="Garamond"/>
      <w:spacing w:val="-2"/>
      <w:sz w:val="24"/>
      <w:szCs w:val="24"/>
    </w:rPr>
  </w:style>
  <w:style w:type="paragraph" w:styleId="Bibliography">
    <w:name w:val="Bibliography"/>
    <w:basedOn w:val="Normal"/>
    <w:next w:val="Normal"/>
    <w:uiPriority w:val="37"/>
    <w:unhideWhenUsed/>
    <w:qFormat/>
    <w:rsid w:val="009646BC"/>
    <w:pPr>
      <w:spacing w:after="0" w:line="240" w:lineRule="auto"/>
    </w:pPr>
    <w:rPr>
      <w:rFonts w:ascii="Times New Roman" w:eastAsia="SimSun" w:hAnsi="Times New Roman" w:cs="Times New Roman"/>
      <w:sz w:val="24"/>
      <w:szCs w:val="24"/>
      <w:lang w:val="tr-TR" w:eastAsia="zh-CN"/>
    </w:rPr>
  </w:style>
  <w:style w:type="paragraph" w:styleId="NoSpacing">
    <w:name w:val="No Spacing"/>
    <w:uiPriority w:val="1"/>
    <w:qFormat/>
    <w:rsid w:val="00D510AE"/>
  </w:style>
  <w:style w:type="paragraph" w:styleId="BalloonText">
    <w:name w:val="Balloon Text"/>
    <w:basedOn w:val="Normal"/>
    <w:link w:val="BalloonTextChar"/>
    <w:uiPriority w:val="99"/>
    <w:semiHidden/>
    <w:unhideWhenUsed/>
    <w:qFormat/>
    <w:rsid w:val="006D6D30"/>
    <w:pPr>
      <w:spacing w:after="0" w:line="240" w:lineRule="auto"/>
    </w:pPr>
    <w:rPr>
      <w:rFonts w:ascii="Tahoma" w:hAnsi="Tahoma" w:cs="Tahoma"/>
      <w:sz w:val="16"/>
      <w:szCs w:val="16"/>
    </w:rPr>
  </w:style>
  <w:style w:type="paragraph" w:styleId="DocumentMap">
    <w:name w:val="Document Map"/>
    <w:basedOn w:val="Normal"/>
    <w:link w:val="DocumentMapChar"/>
    <w:uiPriority w:val="99"/>
    <w:semiHidden/>
    <w:unhideWhenUsed/>
    <w:qFormat/>
    <w:rsid w:val="006D6D30"/>
    <w:pPr>
      <w:spacing w:after="0" w:line="240" w:lineRule="auto"/>
    </w:pPr>
    <w:rPr>
      <w:rFonts w:ascii="Tahoma" w:hAnsi="Tahoma" w:cs="Tahoma"/>
      <w:sz w:val="16"/>
      <w:szCs w:val="16"/>
    </w:rPr>
  </w:style>
  <w:style w:type="paragraph" w:customStyle="1" w:styleId="FrameContents">
    <w:name w:val="Frame Contents"/>
    <w:basedOn w:val="Normal"/>
    <w:qFormat/>
  </w:style>
  <w:style w:type="table" w:styleId="TableGrid">
    <w:name w:val="Table Grid"/>
    <w:basedOn w:val="TableNormal"/>
    <w:rsid w:val="00131F50"/>
    <w:rPr>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Fre13</b:Tag>
    <b:SourceType>Book</b:SourceType>
    <b:Guid>{61455C61-43E1-489E-8BF9-ADDB42DADE90}</b:Guid>
    <b:Author>
      <b:Author>
        <b:NameList>
          <b:Person>
            <b:Last>Lutgens</b:Last>
            <b:First>Frederic</b:First>
            <b:Middle>K.</b:Middle>
          </b:Person>
          <b:Person>
            <b:Last>Tarbuck</b:Last>
            <b:First>Edvard</b:First>
            <b:Middle>J.</b:Middle>
          </b:Person>
          <b:Person>
            <b:Last>Tasa</b:Last>
            <b:First>Dennis</b:First>
          </b:Person>
        </b:NameList>
      </b:Author>
    </b:Author>
    <b:Title>Essential of Geology 11. Basım, Çev. Ed: Cahit Helvacı</b:Title>
    <b:Year>2013</b:Year>
    <b:City>Ankara</b:City>
    <b:Publisher>Nobel Akademik Yayıncılık</b:Publisher>
    <b:RefOrder>3</b:RefOrder>
  </b:Source>
  <b:Source>
    <b:Tag>Ecm09</b:Tag>
    <b:SourceType>Book</b:SourceType>
    <b:Guid>{9CA2CEBF-F9E0-4AC8-B5E1-3D9A1DCFB962}</b:Guid>
    <b:Author>
      <b:Author>
        <b:NameList>
          <b:Person>
            <b:Last>Erlat</b:Last>
            <b:First>Ecmel</b:First>
          </b:Person>
        </b:NameList>
      </b:Author>
    </b:Author>
    <b:Title>İklim Sistemi ve İklim Değişmeleri</b:Title>
    <b:Year>2009</b:Year>
    <b:City>İzmir</b:City>
    <b:Publisher>Ege Üniversitesi Yayınları No: 155</b:Publisher>
    <b:RefOrder>4</b:RefOrder>
  </b:Source>
  <b:Source>
    <b:Tag>Nal94</b:Tag>
    <b:SourceType>ConferenceProceedings</b:SourceType>
    <b:Guid>{6B885D86-E6DE-423E-91E1-E1261E819DD7}</b:Guid>
    <b:Author>
      <b:Author>
        <b:NameList>
          <b:Person>
            <b:Last>Akdeniz</b:Last>
            <b:First>Nalan</b:First>
          </b:Person>
        </b:NameList>
      </b:Author>
    </b:Author>
    <b:Title>Çevre ve Enerji Politikaları</b:Title>
    <b:Pages>174-188</b:Pages>
    <b:Year>1994</b:Year>
    <b:ConferenceName>Günümüzün Çevre Sorunları</b:ConferenceName>
    <b:City>Ankara</b:City>
    <b:Publisher>Birleşmiş Milletler Türk Derneği Yayınları : 18</b:Publisher>
    <b:RefOrder>5</b:RefOrder>
  </b:Source>
  <b:Source>
    <b:Tag>Ruş12</b:Tag>
    <b:SourceType>Book</b:SourceType>
    <b:Guid>{19D13E71-8CEA-4B12-BFE0-D7CC6FF40811}</b:Guid>
    <b:Author>
      <b:Author>
        <b:NameList>
          <b:Person>
            <b:Last>Keleş</b:Last>
            <b:First>Ruşen</b:First>
          </b:Person>
          <b:Person>
            <b:Last>Hamamcı</b:Last>
            <b:First>Can</b:First>
          </b:Person>
          <b:Person>
            <b:Last>Çoban</b:Last>
            <b:First>Aykut</b:First>
          </b:Person>
        </b:NameList>
      </b:Author>
    </b:Author>
    <b:Title>Çevre Politikası 7. Baskı</b:Title>
    <b:Year>2012</b:Year>
    <b:City>Ankara</b:City>
    <b:Publisher>İmge Kitapevi Yayınları</b:Publisher>
    <b:RefOrder>6</b:RefOrder>
  </b:Source>
  <b:Source>
    <b:Tag>And02</b:Tag>
    <b:SourceType>Book</b:SourceType>
    <b:Guid>{D1550955-5517-477C-AB5F-6317E373E337}</b:Guid>
    <b:Author>
      <b:Author>
        <b:NameList>
          <b:Person>
            <b:Last>Furman</b:Last>
            <b:First>Andrzej</b:First>
          </b:Person>
          <b:Person>
            <b:Last>Yenigün</b:Last>
            <b:First>Orhan</b:First>
          </b:Person>
        </b:NameList>
      </b:Author>
    </b:Author>
    <b:Title>The Environmental Dimension</b:Title>
    <b:Year>2002</b:Year>
    <b:City>İstanbul</b:City>
    <b:Publisher>Boğaziçi University Pess</b:Publisher>
    <b:RefOrder>7</b:RefOrder>
  </b:Source>
  <b:Source>
    <b:Tag>İhs10</b:Tag>
    <b:SourceType>Book</b:SourceType>
    <b:Guid>{266E7B89-B6FF-4ED8-B4F4-7C985077DA6A}</b:Guid>
    <b:Author>
      <b:Author>
        <b:NameList>
          <b:Person>
            <b:Last>Tekeli</b:Last>
            <b:First>İhsan</b:First>
          </b:Person>
          <b:Person>
            <b:Last>Algan</b:Last>
            <b:First>Nesrin</b:First>
          </b:Person>
          <b:Person>
            <b:Last>Türkeş</b:Last>
            <b:First>Murat</b:First>
          </b:Person>
          <b:Person>
            <b:Last>Vaizoğlu</b:Last>
            <b:First>Songül</b:First>
            <b:Middle>A.</b:Middle>
          </b:Person>
          <b:Person>
            <b:Last>Güler</b:Last>
            <b:First>Çağatay</b:First>
          </b:Person>
          <b:Person>
            <b:Last>Tekbaş</b:Last>
            <b:First>Ö.</b:First>
            <b:Middle>Faruk</b:Middle>
          </b:Person>
          <b:Person>
            <b:Last>Dündar</b:Last>
            <b:First>Ayşe</b:First>
            <b:Middle>Kaya</b:Middle>
          </b:Person>
          <b:Person>
            <b:Last>Arıkan</b:Last>
            <b:First>Yunus</b:First>
          </b:Person>
          <b:Person>
            <b:Last>Saygılı</b:Last>
            <b:First>Abdurrahman</b:First>
          </b:Person>
          <b:Person>
            <b:Last>Yerli</b:Last>
            <b:First>Sedat</b:First>
          </b:Person>
          <b:Person>
            <b:Last>Çobanoğlu</b:Last>
            <b:First>Zakir</b:First>
          </b:Person>
        </b:NameList>
      </b:Author>
    </b:Author>
    <b:Title>Türkiye Açışından Dünyada İklim Değişikliği</b:Title>
    <b:Year>2010</b:Year>
    <b:City>Ankara</b:City>
    <b:Publisher>Türkiye Bilimler Akademisi Yayınları: 22</b:Publisher>
    <b:RefOrder>8</b:RefOrder>
  </b:Source>
  <b:Source>
    <b:Tag>Mus94</b:Tag>
    <b:SourceType>ConferenceProceedings</b:SourceType>
    <b:Guid>{ED8F125B-A251-446C-BA39-47B3BFBFAC3F}</b:Guid>
    <b:Author>
      <b:Author>
        <b:NameList>
          <b:Person>
            <b:Last>Coşturoğlu</b:Last>
            <b:First>Mustafa</b:First>
          </b:Person>
        </b:NameList>
      </b:Author>
    </b:Author>
    <b:Title>Dünyada Ekolojik Devrim, Türkiye'de Gökova'yı Çoraklaştırma Çılgınlığı</b:Title>
    <b:Pages>79-142</b:Pages>
    <b:Year>1994</b:Year>
    <b:ConferenceName>Günümüzün Çevre Sorunları</b:ConferenceName>
    <b:City>Ankara</b:City>
    <b:Publisher>Birleşmiş Milletler Türk Derneği Yayınları:18</b:Publisher>
    <b:RefOrder>9</b:RefOrder>
  </b:Source>
  <b:Source>
    <b:Tag>Kül16</b:Tag>
    <b:SourceType>DocumentFromInternetSite</b:SourceType>
    <b:Guid>{4AA29BEA-1768-4F6F-B972-CFAF4CABA14E}</b:Guid>
    <b:Title>Kültür Varlıkları ve Müzeler Genel Müdürlüğü</b:Title>
    <b:InternetSiteTitle>Kültür ve Turizm Bakanlığı Kültür Varlıkları ve Müzeler Genel Müdürlüğü Web Sitesi </b:InternetSiteTitle>
    <b:Year>2016</b:Year>
    <b:Month>Mayıs</b:Month>
    <b:Day>19</b:Day>
    <b:URL>http://www.kulturvarliklari.gov.tr/TR,44439/dunya-miras-listesine-alinma-kriterleri.html</b:URL>
    <b:RefOrder>10</b:RefOrder>
  </b:Source>
  <b:Source>
    <b:Tag>Ayk14</b:Tag>
    <b:SourceType>BookSection</b:SourceType>
    <b:Guid>{4D8F0D30-220D-4891-B238-3D5357A139F7}</b:Guid>
    <b:Title>Doğa Toplum ve Yöntem</b:Title>
    <b:Year>2014</b:Year>
    <b:City>Ankara</b:City>
    <b:Publisher>Siyasal Kitabevi</b:Publisher>
    <b:Author>
      <b:Author>
        <b:NameList>
          <b:Person>
            <b:Last>Çoban</b:Last>
            <b:First>Aykut</b:First>
          </b:Person>
        </b:NameList>
      </b:Author>
      <b:BookAuthor>
        <b:NameList>
          <b:Person>
            <b:Last>Reyhan</b:Last>
            <b:First>Hakan</b:First>
          </b:Person>
          <b:Person>
            <b:Last>Mutlu</b:Last>
            <b:First>Ahmet</b:First>
          </b:Person>
          <b:Person>
            <b:Last>Doğan</b:Last>
            <b:First>Hüseyin</b:First>
          </b:Person>
          <b:Person>
            <b:Last>Reyhan</b:Last>
            <b:First>Ayşen</b:First>
            <b:Middle>S.</b:Middle>
          </b:Person>
        </b:NameList>
      </b:BookAuthor>
    </b:Author>
    <b:BookTitle>Sosyal Çevre Bilimleri</b:BookTitle>
    <b:Pages>15-35</b:Pages>
    <b:RefOrder>11</b:RefOrder>
  </b:Source>
  <b:Source>
    <b:Tag>Nur15</b:Tag>
    <b:SourceType>Book</b:SourceType>
    <b:Guid>{6AD7AF55-181B-469A-BC0B-424FCACB5F79}</b:Guid>
    <b:Title>Türkiye'de İklim Değişikliği Siyaseti</b:Title>
    <b:Year>2015</b:Year>
    <b:City>Ankara</b:City>
    <b:Publisher>Phoenix Yayınevi</b:Publisher>
    <b:Author>
      <b:Author>
        <b:NameList>
          <b:Person>
            <b:Last>Talu</b:Last>
            <b:First>Nuran</b:First>
          </b:Person>
        </b:NameList>
      </b:Author>
    </b:Author>
    <b:RefOrder>12</b:RefOrder>
  </b:Source>
  <b:Source>
    <b:Tag>Kem02</b:Tag>
    <b:SourceType>JournalArticle</b:SourceType>
    <b:Guid>{899D2BE8-EB4C-4DDF-B142-E2DFA3AD52D4}</b:Guid>
    <b:Title>Küresel İklim Değişikliği ve Türkiye’ye Olası Etkileri</b:Title>
    <b:Year>2002</b:Year>
    <b:Author>
      <b:Author>
        <b:NameList>
          <b:Person>
            <b:Last>Öztürk</b:Last>
            <b:First>Kemal</b:First>
          </b:Person>
        </b:NameList>
      </b:Author>
    </b:Author>
    <b:JournalName>G.Ü. Gazi Eğitim Fakültesi Dergisi Cilt 22, Sayı 1</b:JournalName>
    <b:Pages>47-65</b:Pages>
    <b:RefOrder>13</b:RefOrder>
  </b:Source>
  <b:Source>
    <b:Tag>Cem05</b:Tag>
    <b:SourceType>JournalArticle</b:SourceType>
    <b:Guid>{2EBB271E-886E-4E46-9749-AE59A1C5316E}</b:Guid>
    <b:Author>
      <b:Author>
        <b:NameList>
          <b:Person>
            <b:Last>Aksay</b:Last>
            <b:First>Cemal</b:First>
            <b:Middle>Seçkin</b:Middle>
          </b:Person>
          <b:Person>
            <b:Last>Ketenoğlu</b:Last>
            <b:First>Osman</b:First>
          </b:Person>
          <b:Person>
            <b:Last>Kurt</b:Last>
            <b:First>Latif</b:First>
          </b:Person>
        </b:NameList>
      </b:Author>
    </b:Author>
    <b:Title>Küresel Isınma ve İklim Değişikliği</b:Title>
    <b:JournalName>S Ü Fen Edebiyat Fakültesi Fen Dergisi, Sayı 25</b:JournalName>
    <b:Year>2005</b:Year>
    <b:Pages>29-41</b:Pages>
    <b:RefOrder>14</b:RefOrder>
  </b:Source>
  <b:Source>
    <b:Tag>Mur12</b:Tag>
    <b:SourceType>JournalArticle</b:SourceType>
    <b:Guid>{F34D0C95-6322-4092-9F77-70433E801403}</b:Guid>
    <b:Author>
      <b:Author>
        <b:NameList>
          <b:Person>
            <b:Last>Türkeş</b:Last>
            <b:First>Murat</b:First>
          </b:Person>
        </b:NameList>
      </b:Author>
    </b:Author>
    <b:Title>Türkiye’de Gözlenen ve Öngörülen Đklim Değişikliği, Kuraklık ve Çölleşme </b:Title>
    <b:JournalName>Ankara Üniversitesi Çevrebilimleri Dergisi 4(2)</b:JournalName>
    <b:Year>2012</b:Year>
    <b:Pages>1-32</b:Pages>
    <b:RefOrder>15</b:RefOrder>
  </b:Source>
  <b:Source>
    <b:Tag>Ecm091</b:Tag>
    <b:SourceType>Book</b:SourceType>
    <b:Guid>{A709B971-F2AF-4E4E-8599-AE629AB04A1B}</b:Guid>
    <b:Title>İklim Sistemi ve İklim Değişmeleri</b:Title>
    <b:Year>2009</b:Year>
    <b:City>İzmir</b:City>
    <b:Publisher>Ege Üniversitesi Basımevi</b:Publisher>
    <b:Author>
      <b:Author>
        <b:NameList>
          <b:Person>
            <b:Last>Erlat</b:Last>
            <b:First>Ecmel</b:First>
          </b:Person>
        </b:NameList>
      </b:Author>
    </b:Author>
    <b:RefOrder>16</b:RefOrder>
  </b:Source>
  <b:Source>
    <b:Tag>JTK97</b:Tag>
    <b:SourceType>JournalArticle</b:SourceType>
    <b:Guid>{803B6206-9F27-4340-B7EA-C5C5F62AF882}</b:Guid>
    <b:Title>Earth’s Annual Global Mean Energy Budget</b:Title>
    <b:Year>1997</b:Year>
    <b:Author>
      <b:Author>
        <b:NameList>
          <b:Person>
            <b:Last>Kiehl</b:Last>
            <b:First>J.</b:First>
            <b:Middle>T.</b:Middle>
          </b:Person>
          <b:Person>
            <b:Last>Trenberth</b:Last>
            <b:First>K.</b:First>
            <b:Middle>E.</b:Middle>
          </b:Person>
        </b:NameList>
      </b:Author>
    </b:Author>
    <b:JournalName>Bulletin of the American Meteorological Society (78-2)</b:JournalName>
    <b:Pages>197-208</b:Pages>
    <b:RefOrder>17</b:RefOrder>
  </b:Source>
  <b:Source>
    <b:Tag>Kev03</b:Tag>
    <b:SourceType>JournalArticle</b:SourceType>
    <b:Guid>{09145BD7-0DE7-4892-8707-24FA820D76B8}</b:Guid>
    <b:Author>
      <b:Author>
        <b:NameList>
          <b:Person>
            <b:Last>Trenberth</b:Last>
            <b:First>Kevin</b:First>
            <b:Middle>E.</b:Middle>
          </b:Person>
          <b:Person>
            <b:Last>Stepaniak</b:Last>
            <b:First>David</b:First>
            <b:Middle>P.</b:Middle>
          </b:Person>
        </b:NameList>
      </b:Author>
    </b:Author>
    <b:Title>Seamless Poleward Atmospheric Energy Transports and Implications for the Hadley Circulation</b:Title>
    <b:JournalName>Journal of Climate https://doi.org/10.1175/1520-0442(2003)016&lt;3706:SPAETA&gt;2.0.CO;2</b:JournalName>
    <b:Year>2003</b:Year>
    <b:Pages>1691-1705</b:Pages>
    <b:RefOrder>18</b:RefOrder>
  </b:Source>
  <b:Source>
    <b:Tag>RGB98</b:Tag>
    <b:SourceType>Book</b:SourceType>
    <b:Guid>{EDE09968-BF4B-4C8F-8436-A82D1DB1892F}</b:Guid>
    <b:Title>Atmosphere, Weather and Climate (7th edn)</b:Title>
    <b:Year>1998</b:Year>
    <b:Author>
      <b:Author>
        <b:NameList>
          <b:Person>
            <b:Last>G.Barry</b:Last>
            <b:First>R.</b:First>
          </b:Person>
          <b:Person>
            <b:Last>Chorley</b:Last>
            <b:First>R.</b:First>
            <b:Middle>J.</b:Middle>
          </b:Person>
        </b:NameList>
      </b:Author>
    </b:Author>
    <b:City>Londra</b:City>
    <b:Publisher>Routledge</b:Publisher>
    <b:RefOrder>19</b:RefOrder>
  </b:Source>
  <b:Source>
    <b:Tag>Dav14</b:Tag>
    <b:SourceType>JournalArticle</b:SourceType>
    <b:Guid>{CB932B6D-4492-4E9C-BB43-C85829CC9F52}</b:Guid>
    <b:Title>James Croll (1821–1890): Ice, Ice Ages and the Antarctic Connection</b:Title>
    <b:Year>2014</b:Year>
    <b:Author>
      <b:Author>
        <b:NameList>
          <b:Person>
            <b:Last>Sugden</b:Last>
            <b:First>David</b:First>
            <b:Middle>E.</b:Middle>
          </b:Person>
        </b:NameList>
      </b:Author>
    </b:Author>
    <b:JournalName>Antarctic Science 26(6) doi:10.1017/S095410201400008X</b:JournalName>
    <b:Pages>604–613</b:Pages>
    <b:RefOrder>20</b:RefOrder>
  </b:Source>
  <b:Source>
    <b:Tag>Tül13</b:Tag>
    <b:SourceType>Book</b:SourceType>
    <b:Guid>{2958325A-DDB5-4570-9C18-C0812DC94849}</b:Guid>
    <b:Title>Uzaktan Bilgisayar Mühendisliği Eğitimi Sosyo-Teknik Kuram Çerçevesinde Esnek Bir Model Önerisi</b:Title>
    <b:Year>2013</b:Year>
    <b:City>Ankara</b:City>
    <b:Publisher>Kültür Ajans</b:Publisher>
    <b:Author>
      <b:Author>
        <b:NameList>
          <b:Person>
            <b:Last>Doğan</b:Last>
            <b:First>Tülay</b:First>
            <b:Middle>Görü</b:Middle>
          </b:Person>
          <b:Person>
            <b:Last>Eby</b:Last>
            <b:First>Gülsün</b:First>
          </b:Person>
        </b:NameList>
      </b:Author>
    </b:Author>
    <b:RefOrder>21</b:RefOrder>
  </b:Source>
  <b:Source>
    <b:Tag>Jun</b:Tag>
    <b:SourceType>Book</b:SourceType>
    <b:Guid>{1982E38F-5C01-4248-8F7B-778AFBBD32FB}</b:Guid>
    <b:Author>
      <b:Author>
        <b:NameList>
          <b:Person>
            <b:Last>Jung</b:Last>
            <b:First>2006:</b:First>
            <b:Middle>144</b:Middle>
          </b:Person>
        </b:NameList>
      </b:Author>
    </b:Author>
    <b:RefOrder>22</b:RefOrder>
  </b:Source>
  <b:Source>
    <b:Tag>Jun06</b:Tag>
    <b:SourceType>Book</b:SourceType>
    <b:Guid>{A63832D2-9E7F-4B41-9D83-E17A43664F5C}</b:Guid>
    <b:Title>Jung</b:Title>
    <b:Year>2006</b:Year>
    <b:RefOrder>23</b:RefOrder>
  </b:Source>
  <b:Source>
    <b:Tag>Jun1</b:Tag>
    <b:SourceType>Book</b:SourceType>
    <b:Guid>{4834DB84-4781-4A11-9E3F-4113C48FC179}</b:Guid>
    <b:Title>Jung, 2006: 144</b:Title>
    <b:RefOrder>1</b:RefOrder>
  </b:Source>
  <b:Source>
    <b:Tag>Ceb</b:Tag>
    <b:SourceType>Book</b:SourceType>
    <b:Guid>{80AD1BC3-D5CF-4EFC-8F2E-CBD5B5C4781B}</b:Guid>
    <b:Title>Cebeci, 2004: 121-122</b:Title>
    <b:RefOrder>2</b:RefOrder>
  </b:Source>
</b:Sources>
</file>

<file path=customXml/itemProps1.xml><?xml version="1.0" encoding="utf-8"?>
<ds:datastoreItem xmlns:ds="http://schemas.openxmlformats.org/officeDocument/2006/customXml" ds:itemID="{24C1BEA1-4432-495B-B6E3-5E1525B16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4</Pages>
  <Words>659</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Zeynel Karacagil</dc:creator>
  <dc:description/>
  <cp:lastModifiedBy>Fatma Gülmez Yıldırım</cp:lastModifiedBy>
  <cp:revision>22</cp:revision>
  <dcterms:created xsi:type="dcterms:W3CDTF">2021-09-12T19:16:00Z</dcterms:created>
  <dcterms:modified xsi:type="dcterms:W3CDTF">2024-02-26T13:35:00Z</dcterms:modified>
  <dc:language>en-US</dc:language>
</cp:coreProperties>
</file>